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E4" w:rsidRPr="008B26E2" w:rsidRDefault="00B663E4" w:rsidP="00BE5078">
      <w:pPr>
        <w:shd w:val="clear" w:color="auto" w:fill="FFFFFF" w:themeFill="background1"/>
        <w:autoSpaceDE w:val="0"/>
        <w:autoSpaceDN w:val="0"/>
        <w:adjustRightInd w:val="0"/>
        <w:spacing w:after="0" w:line="276" w:lineRule="auto"/>
        <w:jc w:val="both"/>
        <w:rPr>
          <w:rFonts w:ascii="Arial" w:hAnsi="Arial" w:cs="Arial"/>
          <w:color w:val="000000"/>
          <w:sz w:val="24"/>
          <w:szCs w:val="24"/>
        </w:rPr>
      </w:pPr>
    </w:p>
    <w:p w:rsidR="00BE5078" w:rsidRPr="008B26E2" w:rsidRDefault="00BE5078" w:rsidP="00BE5078">
      <w:pPr>
        <w:shd w:val="clear" w:color="auto" w:fill="FFFFFF" w:themeFill="background1"/>
        <w:autoSpaceDE w:val="0"/>
        <w:autoSpaceDN w:val="0"/>
        <w:adjustRightInd w:val="0"/>
        <w:spacing w:after="0" w:line="276" w:lineRule="auto"/>
        <w:jc w:val="center"/>
        <w:rPr>
          <w:rFonts w:ascii="Arial" w:hAnsi="Arial" w:cs="Arial"/>
          <w:color w:val="000000"/>
          <w:sz w:val="28"/>
          <w:szCs w:val="28"/>
        </w:rPr>
      </w:pPr>
    </w:p>
    <w:p w:rsidR="00165E76" w:rsidRPr="008B26E2" w:rsidRDefault="00165E76" w:rsidP="00BE5078">
      <w:pPr>
        <w:shd w:val="clear" w:color="auto" w:fill="FFFFFF" w:themeFill="background1"/>
        <w:autoSpaceDE w:val="0"/>
        <w:autoSpaceDN w:val="0"/>
        <w:adjustRightInd w:val="0"/>
        <w:spacing w:after="0" w:line="276" w:lineRule="auto"/>
        <w:jc w:val="center"/>
        <w:rPr>
          <w:rFonts w:ascii="Arial" w:hAnsi="Arial" w:cs="Arial"/>
          <w:color w:val="000000"/>
          <w:sz w:val="28"/>
          <w:szCs w:val="28"/>
        </w:rPr>
      </w:pPr>
    </w:p>
    <w:p w:rsidR="00D47D64" w:rsidRPr="008B26E2" w:rsidRDefault="008B26E2" w:rsidP="00BE5078">
      <w:pPr>
        <w:shd w:val="clear" w:color="auto" w:fill="FFFFFF" w:themeFill="background1"/>
        <w:autoSpaceDE w:val="0"/>
        <w:autoSpaceDN w:val="0"/>
        <w:adjustRightInd w:val="0"/>
        <w:spacing w:after="0" w:line="276" w:lineRule="auto"/>
        <w:jc w:val="center"/>
        <w:rPr>
          <w:rFonts w:ascii="Arial" w:hAnsi="Arial" w:cs="Arial"/>
          <w:color w:val="000000"/>
          <w:sz w:val="28"/>
          <w:szCs w:val="28"/>
        </w:rPr>
      </w:pPr>
      <w:r w:rsidRPr="008B26E2">
        <w:rPr>
          <w:rFonts w:ascii="Arial" w:hAnsi="Arial" w:cs="Arial"/>
          <w:color w:val="000000"/>
          <w:sz w:val="28"/>
          <w:szCs w:val="28"/>
        </w:rPr>
        <w:t>Brewing market</w:t>
      </w:r>
      <w:r w:rsidR="00A438C3" w:rsidRPr="008B26E2">
        <w:rPr>
          <w:rFonts w:ascii="Arial" w:hAnsi="Arial" w:cs="Arial"/>
          <w:color w:val="000000"/>
          <w:sz w:val="28"/>
          <w:szCs w:val="28"/>
        </w:rPr>
        <w:t xml:space="preserve">, </w:t>
      </w:r>
      <w:r>
        <w:rPr>
          <w:rFonts w:ascii="Arial" w:hAnsi="Arial" w:cs="Arial"/>
          <w:color w:val="000000"/>
          <w:sz w:val="28"/>
          <w:szCs w:val="28"/>
        </w:rPr>
        <w:t>moderate increase in</w:t>
      </w:r>
      <w:r w:rsidR="00A438C3" w:rsidRPr="008B26E2">
        <w:rPr>
          <w:rFonts w:ascii="Arial" w:hAnsi="Arial" w:cs="Arial"/>
          <w:color w:val="000000"/>
          <w:sz w:val="28"/>
          <w:szCs w:val="28"/>
        </w:rPr>
        <w:t xml:space="preserve"> </w:t>
      </w:r>
      <w:r w:rsidR="00D47D64" w:rsidRPr="008B26E2">
        <w:rPr>
          <w:rFonts w:ascii="Arial" w:hAnsi="Arial" w:cs="Arial"/>
          <w:color w:val="000000"/>
          <w:sz w:val="28"/>
          <w:szCs w:val="28"/>
        </w:rPr>
        <w:t>201</w:t>
      </w:r>
      <w:r w:rsidR="00A438C3" w:rsidRPr="008B26E2">
        <w:rPr>
          <w:rFonts w:ascii="Arial" w:hAnsi="Arial" w:cs="Arial"/>
          <w:color w:val="000000"/>
          <w:sz w:val="28"/>
          <w:szCs w:val="28"/>
        </w:rPr>
        <w:t>7</w:t>
      </w:r>
    </w:p>
    <w:p w:rsidR="00BE5078" w:rsidRPr="008B26E2" w:rsidRDefault="00BE5078" w:rsidP="00BE5078">
      <w:pPr>
        <w:shd w:val="clear" w:color="auto" w:fill="FFFFFF" w:themeFill="background1"/>
        <w:autoSpaceDE w:val="0"/>
        <w:autoSpaceDN w:val="0"/>
        <w:adjustRightInd w:val="0"/>
        <w:spacing w:after="0" w:line="276" w:lineRule="auto"/>
        <w:jc w:val="both"/>
        <w:rPr>
          <w:rStyle w:val="Accentuat"/>
          <w:rFonts w:ascii="Arial" w:hAnsi="Arial" w:cs="Arial"/>
          <w:b/>
          <w:i w:val="0"/>
          <w:color w:val="313131"/>
          <w:sz w:val="20"/>
          <w:szCs w:val="20"/>
          <w:shd w:val="clear" w:color="auto" w:fill="F8F8F8"/>
        </w:rPr>
      </w:pPr>
    </w:p>
    <w:p w:rsidR="00110CCA" w:rsidRPr="008B26E2" w:rsidRDefault="00110CCA" w:rsidP="00BE5078">
      <w:pPr>
        <w:shd w:val="clear" w:color="auto" w:fill="FFFFFF" w:themeFill="background1"/>
        <w:autoSpaceDE w:val="0"/>
        <w:autoSpaceDN w:val="0"/>
        <w:adjustRightInd w:val="0"/>
        <w:spacing w:after="0" w:line="276" w:lineRule="auto"/>
        <w:jc w:val="both"/>
        <w:rPr>
          <w:rFonts w:ascii="Arial" w:hAnsi="Arial" w:cs="Arial"/>
          <w:bCs/>
        </w:rPr>
      </w:pPr>
    </w:p>
    <w:p w:rsidR="00382603" w:rsidRPr="008B26E2" w:rsidRDefault="008B26E2" w:rsidP="00BE5078">
      <w:pPr>
        <w:shd w:val="clear" w:color="auto" w:fill="FFFFFF" w:themeFill="background1"/>
        <w:autoSpaceDE w:val="0"/>
        <w:autoSpaceDN w:val="0"/>
        <w:adjustRightInd w:val="0"/>
        <w:spacing w:after="0" w:line="276" w:lineRule="auto"/>
        <w:jc w:val="both"/>
        <w:rPr>
          <w:rFonts w:ascii="Arial" w:hAnsi="Arial" w:cs="Arial"/>
          <w:bCs/>
          <w:sz w:val="20"/>
        </w:rPr>
      </w:pPr>
      <w:r>
        <w:rPr>
          <w:rFonts w:ascii="Arial" w:hAnsi="Arial" w:cs="Arial"/>
          <w:b/>
          <w:bCs/>
          <w:sz w:val="20"/>
        </w:rPr>
        <w:t>Bucharest</w:t>
      </w:r>
      <w:r w:rsidR="00972319" w:rsidRPr="008B26E2">
        <w:rPr>
          <w:rFonts w:ascii="Arial" w:hAnsi="Arial" w:cs="Arial"/>
          <w:b/>
          <w:bCs/>
          <w:sz w:val="20"/>
        </w:rPr>
        <w:t xml:space="preserve">, </w:t>
      </w:r>
      <w:r>
        <w:rPr>
          <w:rFonts w:ascii="Arial" w:hAnsi="Arial" w:cs="Arial"/>
          <w:b/>
          <w:bCs/>
          <w:sz w:val="20"/>
        </w:rPr>
        <w:t xml:space="preserve">April </w:t>
      </w:r>
      <w:r w:rsidR="00E333A4" w:rsidRPr="008B26E2">
        <w:rPr>
          <w:rFonts w:ascii="Arial" w:hAnsi="Arial" w:cs="Arial"/>
          <w:b/>
          <w:bCs/>
          <w:sz w:val="20"/>
        </w:rPr>
        <w:t>1</w:t>
      </w:r>
      <w:r w:rsidR="00D160CA" w:rsidRPr="008B26E2">
        <w:rPr>
          <w:rFonts w:ascii="Arial" w:hAnsi="Arial" w:cs="Arial"/>
          <w:b/>
          <w:bCs/>
          <w:sz w:val="20"/>
        </w:rPr>
        <w:t>7</w:t>
      </w:r>
      <w:r w:rsidRPr="008B26E2">
        <w:rPr>
          <w:rFonts w:ascii="Arial" w:hAnsi="Arial" w:cs="Arial"/>
          <w:b/>
          <w:bCs/>
          <w:sz w:val="20"/>
          <w:vertAlign w:val="superscript"/>
        </w:rPr>
        <w:t>th</w:t>
      </w:r>
      <w:r>
        <w:rPr>
          <w:rFonts w:ascii="Arial" w:hAnsi="Arial" w:cs="Arial"/>
          <w:b/>
          <w:bCs/>
          <w:sz w:val="20"/>
        </w:rPr>
        <w:t>,</w:t>
      </w:r>
      <w:r w:rsidR="00D63A71" w:rsidRPr="008B26E2">
        <w:rPr>
          <w:rFonts w:ascii="Arial" w:hAnsi="Arial" w:cs="Arial"/>
          <w:b/>
          <w:bCs/>
          <w:sz w:val="20"/>
        </w:rPr>
        <w:t xml:space="preserve"> 201</w:t>
      </w:r>
      <w:r w:rsidR="00D160CA" w:rsidRPr="008B26E2">
        <w:rPr>
          <w:rFonts w:ascii="Arial" w:hAnsi="Arial" w:cs="Arial"/>
          <w:b/>
          <w:bCs/>
          <w:sz w:val="20"/>
        </w:rPr>
        <w:t>8</w:t>
      </w:r>
      <w:r w:rsidR="00972319" w:rsidRPr="008B26E2">
        <w:rPr>
          <w:rFonts w:ascii="Arial" w:hAnsi="Arial" w:cs="Arial"/>
          <w:bCs/>
          <w:sz w:val="20"/>
        </w:rPr>
        <w:t>:</w:t>
      </w:r>
      <w:r w:rsidR="00BB00CD" w:rsidRPr="008B26E2">
        <w:rPr>
          <w:rFonts w:ascii="Arial" w:hAnsi="Arial" w:cs="Arial"/>
          <w:bCs/>
          <w:sz w:val="20"/>
        </w:rPr>
        <w:t xml:space="preserve"> </w:t>
      </w:r>
      <w:r>
        <w:rPr>
          <w:rFonts w:ascii="Arial" w:hAnsi="Arial" w:cs="Arial"/>
          <w:bCs/>
          <w:sz w:val="20"/>
        </w:rPr>
        <w:t>The Brewers of Romania Association informs about the evolution of the brewing market last year</w:t>
      </w:r>
      <w:r w:rsidR="00D63A71" w:rsidRPr="008B26E2">
        <w:rPr>
          <w:rFonts w:ascii="Arial" w:hAnsi="Arial" w:cs="Arial"/>
          <w:bCs/>
          <w:sz w:val="20"/>
        </w:rPr>
        <w:t>:</w:t>
      </w:r>
    </w:p>
    <w:p w:rsidR="00B63DE9" w:rsidRPr="008B26E2" w:rsidRDefault="008B26E2" w:rsidP="00BE5078">
      <w:pPr>
        <w:pStyle w:val="Listparagraf"/>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r>
        <w:rPr>
          <w:rFonts w:ascii="Arial" w:hAnsi="Arial" w:cs="Arial"/>
          <w:bCs/>
          <w:sz w:val="20"/>
        </w:rPr>
        <w:t>The brewing market registered a</w:t>
      </w:r>
      <w:r w:rsidR="00E75BD9" w:rsidRPr="008B26E2">
        <w:rPr>
          <w:rFonts w:ascii="Arial" w:hAnsi="Arial" w:cs="Arial"/>
          <w:bCs/>
          <w:sz w:val="20"/>
        </w:rPr>
        <w:t xml:space="preserve"> 2%</w:t>
      </w:r>
      <w:r>
        <w:rPr>
          <w:rFonts w:ascii="Arial" w:hAnsi="Arial" w:cs="Arial"/>
          <w:bCs/>
          <w:sz w:val="20"/>
        </w:rPr>
        <w:t xml:space="preserve"> increase</w:t>
      </w:r>
      <w:r w:rsidR="00365B4D" w:rsidRPr="008B26E2">
        <w:rPr>
          <w:rFonts w:ascii="Arial" w:hAnsi="Arial" w:cs="Arial"/>
          <w:bCs/>
          <w:sz w:val="20"/>
          <w:vertAlign w:val="superscript"/>
        </w:rPr>
        <w:footnoteReference w:id="1"/>
      </w:r>
      <w:r w:rsidR="00E75BD9" w:rsidRPr="008B26E2">
        <w:rPr>
          <w:rFonts w:ascii="Arial" w:hAnsi="Arial" w:cs="Arial"/>
          <w:bCs/>
          <w:sz w:val="20"/>
        </w:rPr>
        <w:t xml:space="preserve">, </w:t>
      </w:r>
      <w:r>
        <w:rPr>
          <w:rFonts w:ascii="Arial" w:hAnsi="Arial" w:cs="Arial"/>
          <w:bCs/>
          <w:sz w:val="20"/>
        </w:rPr>
        <w:t>with a volume of</w:t>
      </w:r>
      <w:r w:rsidR="00E75BD9" w:rsidRPr="008B26E2">
        <w:rPr>
          <w:rFonts w:ascii="Arial" w:hAnsi="Arial" w:cs="Arial"/>
          <w:bCs/>
          <w:sz w:val="20"/>
        </w:rPr>
        <w:t xml:space="preserve"> 16.11 </w:t>
      </w:r>
      <w:r>
        <w:rPr>
          <w:rFonts w:ascii="Arial" w:hAnsi="Arial" w:cs="Arial"/>
          <w:bCs/>
          <w:sz w:val="20"/>
        </w:rPr>
        <w:t>million</w:t>
      </w:r>
      <w:r w:rsidR="0011371A" w:rsidRPr="008B26E2">
        <w:rPr>
          <w:rFonts w:ascii="Arial" w:hAnsi="Arial" w:cs="Arial"/>
          <w:bCs/>
          <w:sz w:val="20"/>
        </w:rPr>
        <w:t xml:space="preserve"> </w:t>
      </w:r>
      <w:r w:rsidR="00E75BD9" w:rsidRPr="008B26E2">
        <w:rPr>
          <w:rFonts w:ascii="Arial" w:hAnsi="Arial" w:cs="Arial"/>
          <w:bCs/>
          <w:sz w:val="20"/>
        </w:rPr>
        <w:t>H</w:t>
      </w:r>
      <w:r w:rsidR="0011371A" w:rsidRPr="008B26E2">
        <w:rPr>
          <w:rFonts w:ascii="Arial" w:hAnsi="Arial" w:cs="Arial"/>
          <w:bCs/>
          <w:sz w:val="20"/>
        </w:rPr>
        <w:t>l</w:t>
      </w:r>
    </w:p>
    <w:p w:rsidR="00B63DE9" w:rsidRPr="008B26E2" w:rsidRDefault="008B26E2" w:rsidP="00BE5078">
      <w:pPr>
        <w:pStyle w:val="Listparagraf"/>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r>
        <w:rPr>
          <w:rFonts w:ascii="Arial" w:hAnsi="Arial" w:cs="Arial"/>
          <w:bCs/>
          <w:sz w:val="20"/>
        </w:rPr>
        <w:t>The beer consumption per capita was</w:t>
      </w:r>
      <w:r w:rsidR="0024109E" w:rsidRPr="008B26E2">
        <w:rPr>
          <w:rFonts w:ascii="Arial" w:hAnsi="Arial" w:cs="Arial"/>
          <w:bCs/>
          <w:sz w:val="20"/>
        </w:rPr>
        <w:t xml:space="preserve"> </w:t>
      </w:r>
      <w:r w:rsidR="0011371A" w:rsidRPr="008B26E2">
        <w:rPr>
          <w:rFonts w:ascii="Arial" w:hAnsi="Arial" w:cs="Arial"/>
          <w:bCs/>
          <w:sz w:val="20"/>
        </w:rPr>
        <w:t>8</w:t>
      </w:r>
      <w:r w:rsidR="00E75BD9" w:rsidRPr="008B26E2">
        <w:rPr>
          <w:rFonts w:ascii="Arial" w:hAnsi="Arial" w:cs="Arial"/>
          <w:bCs/>
          <w:sz w:val="20"/>
        </w:rPr>
        <w:t>2</w:t>
      </w:r>
      <w:r w:rsidR="0011371A" w:rsidRPr="008B26E2">
        <w:rPr>
          <w:rFonts w:ascii="Arial" w:hAnsi="Arial" w:cs="Arial"/>
          <w:bCs/>
          <w:sz w:val="20"/>
        </w:rPr>
        <w:t xml:space="preserve"> l </w:t>
      </w:r>
    </w:p>
    <w:p w:rsidR="00E9439E" w:rsidRPr="008B26E2" w:rsidRDefault="008B26E2" w:rsidP="00BE5078">
      <w:pPr>
        <w:pStyle w:val="Listparagraf"/>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r>
        <w:rPr>
          <w:rFonts w:ascii="Arial" w:hAnsi="Arial" w:cs="Arial"/>
          <w:bCs/>
          <w:sz w:val="20"/>
        </w:rPr>
        <w:t>The beer industry directly and indirectly generates more than</w:t>
      </w:r>
      <w:r w:rsidR="00CD0CFA" w:rsidRPr="008B26E2">
        <w:rPr>
          <w:rFonts w:ascii="Arial" w:hAnsi="Arial" w:cs="Arial"/>
          <w:bCs/>
          <w:sz w:val="20"/>
        </w:rPr>
        <w:t xml:space="preserve"> </w:t>
      </w:r>
      <w:r w:rsidR="00E9439E" w:rsidRPr="008B26E2">
        <w:rPr>
          <w:rFonts w:ascii="Arial" w:hAnsi="Arial" w:cs="Arial"/>
          <w:bCs/>
          <w:sz w:val="20"/>
        </w:rPr>
        <w:t>85</w:t>
      </w:r>
      <w:r>
        <w:rPr>
          <w:rFonts w:ascii="Arial" w:hAnsi="Arial" w:cs="Arial"/>
          <w:bCs/>
          <w:sz w:val="20"/>
        </w:rPr>
        <w:t>,</w:t>
      </w:r>
      <w:r w:rsidR="00E9439E" w:rsidRPr="008B26E2">
        <w:rPr>
          <w:rFonts w:ascii="Arial" w:hAnsi="Arial" w:cs="Arial"/>
          <w:bCs/>
          <w:sz w:val="20"/>
        </w:rPr>
        <w:t>000</w:t>
      </w:r>
      <w:r w:rsidR="00460DDA" w:rsidRPr="008B26E2">
        <w:rPr>
          <w:rFonts w:ascii="Arial" w:hAnsi="Arial" w:cs="Arial"/>
          <w:bCs/>
          <w:sz w:val="20"/>
          <w:vertAlign w:val="superscript"/>
        </w:rPr>
        <w:footnoteReference w:id="2"/>
      </w:r>
      <w:r w:rsidR="00E9439E" w:rsidRPr="008B26E2">
        <w:rPr>
          <w:rFonts w:ascii="Arial" w:hAnsi="Arial" w:cs="Arial"/>
          <w:bCs/>
          <w:sz w:val="20"/>
          <w:vertAlign w:val="superscript"/>
        </w:rPr>
        <w:t xml:space="preserve"> </w:t>
      </w:r>
      <w:r>
        <w:rPr>
          <w:rFonts w:ascii="Arial" w:hAnsi="Arial" w:cs="Arial"/>
          <w:bCs/>
          <w:sz w:val="20"/>
        </w:rPr>
        <w:t>jobs nationwide</w:t>
      </w:r>
      <w:r w:rsidR="00E9439E" w:rsidRPr="008B26E2">
        <w:rPr>
          <w:rFonts w:ascii="Arial" w:hAnsi="Arial" w:cs="Arial"/>
          <w:bCs/>
          <w:sz w:val="20"/>
        </w:rPr>
        <w:t xml:space="preserve">  </w:t>
      </w:r>
    </w:p>
    <w:p w:rsidR="0024109E" w:rsidRPr="008B26E2" w:rsidRDefault="008B26E2" w:rsidP="00BE5078">
      <w:pPr>
        <w:pStyle w:val="Listparagraf"/>
        <w:numPr>
          <w:ilvl w:val="0"/>
          <w:numId w:val="1"/>
        </w:numPr>
        <w:shd w:val="clear" w:color="auto" w:fill="FFFFFF" w:themeFill="background1"/>
        <w:autoSpaceDE w:val="0"/>
        <w:autoSpaceDN w:val="0"/>
        <w:adjustRightInd w:val="0"/>
        <w:spacing w:after="0" w:line="276" w:lineRule="auto"/>
        <w:jc w:val="both"/>
        <w:rPr>
          <w:rFonts w:ascii="Arial" w:hAnsi="Arial" w:cs="Arial"/>
          <w:bCs/>
          <w:sz w:val="20"/>
        </w:rPr>
      </w:pPr>
      <w:r>
        <w:rPr>
          <w:rFonts w:ascii="Arial" w:hAnsi="Arial" w:cs="Arial"/>
          <w:bCs/>
          <w:sz w:val="20"/>
        </w:rPr>
        <w:t>Fiscal predictability and a stable economic context remain the main factors for the preservation</w:t>
      </w:r>
      <w:r w:rsidR="00D6118C" w:rsidRPr="008B26E2">
        <w:rPr>
          <w:rFonts w:ascii="Arial" w:hAnsi="Arial" w:cs="Arial"/>
          <w:bCs/>
          <w:sz w:val="20"/>
        </w:rPr>
        <w:t xml:space="preserve"> </w:t>
      </w:r>
      <w:r>
        <w:rPr>
          <w:rFonts w:ascii="Arial" w:hAnsi="Arial" w:cs="Arial"/>
          <w:bCs/>
          <w:sz w:val="20"/>
        </w:rPr>
        <w:t>of the balance on the brewing market</w:t>
      </w:r>
    </w:p>
    <w:p w:rsidR="00C9224B" w:rsidRPr="008B26E2" w:rsidRDefault="00C9224B" w:rsidP="00BE5078">
      <w:pPr>
        <w:pStyle w:val="Listparagraf"/>
        <w:shd w:val="clear" w:color="auto" w:fill="FFFFFF" w:themeFill="background1"/>
        <w:autoSpaceDE w:val="0"/>
        <w:autoSpaceDN w:val="0"/>
        <w:adjustRightInd w:val="0"/>
        <w:spacing w:after="0" w:line="276" w:lineRule="auto"/>
        <w:jc w:val="both"/>
        <w:rPr>
          <w:rFonts w:ascii="Arial" w:hAnsi="Arial" w:cs="Arial"/>
          <w:bCs/>
          <w:sz w:val="20"/>
        </w:rPr>
      </w:pPr>
    </w:p>
    <w:p w:rsidR="0034434C" w:rsidRPr="008B26E2" w:rsidRDefault="00D34AD4" w:rsidP="00BE5078">
      <w:pPr>
        <w:shd w:val="clear" w:color="auto" w:fill="FFFFFF" w:themeFill="background1"/>
        <w:autoSpaceDE w:val="0"/>
        <w:autoSpaceDN w:val="0"/>
        <w:adjustRightInd w:val="0"/>
        <w:spacing w:after="0" w:line="276" w:lineRule="auto"/>
        <w:jc w:val="both"/>
        <w:rPr>
          <w:rFonts w:ascii="Arial" w:hAnsi="Arial" w:cs="Arial"/>
          <w:bCs/>
          <w:iCs/>
          <w:sz w:val="20"/>
        </w:rPr>
      </w:pPr>
      <w:r w:rsidRPr="008B26E2">
        <w:rPr>
          <w:rFonts w:ascii="Arial" w:hAnsi="Arial" w:cs="Arial"/>
          <w:bCs/>
          <w:iCs/>
          <w:sz w:val="20"/>
        </w:rPr>
        <w:t>“</w:t>
      </w:r>
      <w:r w:rsidR="008B26E2">
        <w:rPr>
          <w:rFonts w:ascii="Arial" w:hAnsi="Arial" w:cs="Arial"/>
          <w:bCs/>
          <w:i/>
          <w:iCs/>
          <w:sz w:val="20"/>
        </w:rPr>
        <w:t>The brewing market has naturally evolved last year, registering a moderate increase of 2% in volume. We have a positive trend</w:t>
      </w:r>
      <w:r w:rsidR="00455158">
        <w:rPr>
          <w:rFonts w:ascii="Arial" w:hAnsi="Arial" w:cs="Arial"/>
          <w:bCs/>
          <w:i/>
          <w:iCs/>
          <w:sz w:val="20"/>
        </w:rPr>
        <w:t xml:space="preserve"> on the basis of which</w:t>
      </w:r>
      <w:r w:rsidR="008B26E2">
        <w:rPr>
          <w:rFonts w:ascii="Arial" w:hAnsi="Arial" w:cs="Arial"/>
          <w:bCs/>
          <w:i/>
          <w:iCs/>
          <w:sz w:val="20"/>
        </w:rPr>
        <w:t xml:space="preserve">, even though we believe it is still fragile, we want to </w:t>
      </w:r>
      <w:r w:rsidR="00455158">
        <w:rPr>
          <w:rFonts w:ascii="Arial" w:hAnsi="Arial" w:cs="Arial"/>
          <w:bCs/>
          <w:i/>
          <w:iCs/>
          <w:sz w:val="20"/>
        </w:rPr>
        <w:t>continue</w:t>
      </w:r>
      <w:r w:rsidR="008B26E2">
        <w:rPr>
          <w:rFonts w:ascii="Arial" w:hAnsi="Arial" w:cs="Arial"/>
          <w:bCs/>
          <w:i/>
          <w:iCs/>
          <w:sz w:val="20"/>
        </w:rPr>
        <w:t xml:space="preserve"> the </w:t>
      </w:r>
      <w:r w:rsidR="00455158">
        <w:rPr>
          <w:rFonts w:ascii="Arial" w:hAnsi="Arial" w:cs="Arial"/>
          <w:bCs/>
          <w:i/>
          <w:iCs/>
          <w:sz w:val="20"/>
        </w:rPr>
        <w:t xml:space="preserve">upward </w:t>
      </w:r>
      <w:r w:rsidR="008B26E2">
        <w:rPr>
          <w:rFonts w:ascii="Arial" w:hAnsi="Arial" w:cs="Arial"/>
          <w:bCs/>
          <w:i/>
          <w:iCs/>
          <w:sz w:val="20"/>
        </w:rPr>
        <w:t xml:space="preserve">evolution of the brewing market this year. </w:t>
      </w:r>
      <w:r w:rsidR="0044303C">
        <w:rPr>
          <w:rFonts w:ascii="Arial" w:hAnsi="Arial" w:cs="Arial"/>
          <w:bCs/>
          <w:i/>
          <w:iCs/>
          <w:sz w:val="20"/>
        </w:rPr>
        <w:t xml:space="preserve">The determining factor for keeping the positive trend of the market is to further ensure a stable economic context and a predictable regulatory framework. Beer is a very popular </w:t>
      </w:r>
      <w:r w:rsidR="00455158">
        <w:rPr>
          <w:rFonts w:ascii="Arial" w:hAnsi="Arial" w:cs="Arial"/>
          <w:bCs/>
          <w:i/>
          <w:iCs/>
          <w:sz w:val="20"/>
        </w:rPr>
        <w:t>beverage</w:t>
      </w:r>
      <w:r w:rsidR="0044303C">
        <w:rPr>
          <w:rFonts w:ascii="Arial" w:hAnsi="Arial" w:cs="Arial"/>
          <w:bCs/>
          <w:i/>
          <w:iCs/>
          <w:sz w:val="20"/>
        </w:rPr>
        <w:t xml:space="preserve"> in our country, so the Romanians must further enjoy it with their loved ones</w:t>
      </w:r>
      <w:r w:rsidR="0034434C" w:rsidRPr="008B26E2">
        <w:rPr>
          <w:rFonts w:ascii="Arial" w:hAnsi="Arial" w:cs="Arial"/>
          <w:bCs/>
          <w:iCs/>
          <w:sz w:val="20"/>
        </w:rPr>
        <w:t xml:space="preserve">”, </w:t>
      </w:r>
      <w:r w:rsidR="0044303C">
        <w:rPr>
          <w:rFonts w:ascii="Arial" w:hAnsi="Arial" w:cs="Arial"/>
          <w:bCs/>
          <w:iCs/>
          <w:sz w:val="20"/>
        </w:rPr>
        <w:t>said</w:t>
      </w:r>
      <w:r w:rsidR="0034434C" w:rsidRPr="008B26E2">
        <w:rPr>
          <w:rFonts w:ascii="Arial" w:hAnsi="Arial" w:cs="Arial"/>
          <w:bCs/>
          <w:iCs/>
          <w:sz w:val="20"/>
        </w:rPr>
        <w:t xml:space="preserve"> </w:t>
      </w:r>
      <w:r w:rsidR="00835A46" w:rsidRPr="008B26E2">
        <w:rPr>
          <w:rFonts w:ascii="Arial" w:hAnsi="Arial" w:cs="Arial"/>
          <w:bCs/>
          <w:iCs/>
          <w:sz w:val="20"/>
        </w:rPr>
        <w:t xml:space="preserve">Lucian </w:t>
      </w:r>
      <w:proofErr w:type="spellStart"/>
      <w:r w:rsidR="00835A46" w:rsidRPr="008B26E2">
        <w:rPr>
          <w:rFonts w:ascii="Arial" w:hAnsi="Arial" w:cs="Arial"/>
          <w:bCs/>
          <w:iCs/>
          <w:sz w:val="20"/>
        </w:rPr>
        <w:t>Ghinea</w:t>
      </w:r>
      <w:proofErr w:type="spellEnd"/>
      <w:r w:rsidR="0034434C" w:rsidRPr="008B26E2">
        <w:rPr>
          <w:rFonts w:ascii="Arial" w:hAnsi="Arial" w:cs="Arial"/>
          <w:bCs/>
          <w:iCs/>
          <w:sz w:val="20"/>
        </w:rPr>
        <w:t xml:space="preserve">, </w:t>
      </w:r>
      <w:r w:rsidR="0044303C">
        <w:rPr>
          <w:rFonts w:ascii="Arial" w:hAnsi="Arial" w:cs="Arial"/>
          <w:bCs/>
          <w:iCs/>
          <w:sz w:val="20"/>
        </w:rPr>
        <w:t>President of the Brewers of Romania Association</w:t>
      </w:r>
      <w:r w:rsidR="0034434C" w:rsidRPr="008B26E2">
        <w:rPr>
          <w:rFonts w:ascii="Arial" w:hAnsi="Arial" w:cs="Arial"/>
          <w:bCs/>
          <w:iCs/>
          <w:sz w:val="20"/>
        </w:rPr>
        <w:t>.</w:t>
      </w:r>
    </w:p>
    <w:p w:rsidR="0034434C" w:rsidRPr="008B26E2" w:rsidRDefault="0034434C" w:rsidP="00BE5078">
      <w:pPr>
        <w:shd w:val="clear" w:color="auto" w:fill="FFFFFF" w:themeFill="background1"/>
        <w:autoSpaceDE w:val="0"/>
        <w:autoSpaceDN w:val="0"/>
        <w:adjustRightInd w:val="0"/>
        <w:spacing w:after="0" w:line="276" w:lineRule="auto"/>
        <w:jc w:val="both"/>
        <w:rPr>
          <w:rFonts w:ascii="Arial" w:hAnsi="Arial" w:cs="Arial"/>
          <w:bCs/>
          <w:iCs/>
          <w:sz w:val="20"/>
        </w:rPr>
      </w:pPr>
      <w:bookmarkStart w:id="0" w:name="_GoBack"/>
      <w:bookmarkEnd w:id="0"/>
    </w:p>
    <w:p w:rsidR="00DC6EF7" w:rsidRPr="008B26E2" w:rsidRDefault="0044303C" w:rsidP="00BE5078">
      <w:pPr>
        <w:shd w:val="clear" w:color="auto" w:fill="FFFFFF" w:themeFill="background1"/>
        <w:spacing w:line="276" w:lineRule="auto"/>
        <w:jc w:val="both"/>
        <w:rPr>
          <w:rFonts w:ascii="Arial" w:hAnsi="Arial" w:cs="Arial"/>
          <w:bCs/>
          <w:iCs/>
          <w:sz w:val="20"/>
        </w:rPr>
      </w:pPr>
      <w:r w:rsidRPr="0044303C">
        <w:rPr>
          <w:rFonts w:ascii="Arial" w:hAnsi="Arial" w:cs="Arial"/>
          <w:bCs/>
          <w:sz w:val="20"/>
        </w:rPr>
        <w:t>Beer production is a real driver of the econom</w:t>
      </w:r>
      <w:r>
        <w:rPr>
          <w:rFonts w:ascii="Arial" w:hAnsi="Arial" w:cs="Arial"/>
          <w:bCs/>
          <w:sz w:val="20"/>
        </w:rPr>
        <w:t>ic growth of Romania by generating jobs nationwide, added value in all related activities and significant contributions to the state budget, as duties and fees</w:t>
      </w:r>
      <w:r w:rsidRPr="0044303C">
        <w:rPr>
          <w:rFonts w:ascii="Arial" w:hAnsi="Arial" w:cs="Arial"/>
          <w:bCs/>
          <w:sz w:val="20"/>
        </w:rPr>
        <w:t>. Due to its profoundly national character, defined by local production in a share of around 97% and 70% of the ingredients from the Romanian agriculture, the brewing sector has a significant influence on the employment level, generating, directly and indirectly, more than 85,000 jobs for the Romanians, country-wide, thus contributing to making a living for their families</w:t>
      </w:r>
      <w:r w:rsidR="00F8706E" w:rsidRPr="008B26E2">
        <w:rPr>
          <w:rFonts w:ascii="Arial" w:hAnsi="Arial" w:cs="Arial"/>
          <w:bCs/>
          <w:iCs/>
          <w:sz w:val="20"/>
        </w:rPr>
        <w:t xml:space="preserve">. </w:t>
      </w:r>
    </w:p>
    <w:p w:rsidR="000946D0" w:rsidRPr="008B26E2" w:rsidRDefault="00CD7BF0" w:rsidP="00BE5078">
      <w:pPr>
        <w:shd w:val="clear" w:color="auto" w:fill="FFFFFF" w:themeFill="background1"/>
        <w:spacing w:line="276" w:lineRule="auto"/>
        <w:jc w:val="both"/>
        <w:rPr>
          <w:rFonts w:ascii="Arial" w:hAnsi="Arial" w:cs="Arial"/>
          <w:bCs/>
          <w:iCs/>
          <w:sz w:val="20"/>
        </w:rPr>
      </w:pPr>
      <w:r w:rsidRPr="008B26E2">
        <w:rPr>
          <w:rFonts w:ascii="Arial" w:hAnsi="Arial" w:cs="Arial"/>
          <w:bCs/>
          <w:iCs/>
          <w:sz w:val="20"/>
        </w:rPr>
        <w:t>"</w:t>
      </w:r>
      <w:r w:rsidR="0044303C">
        <w:rPr>
          <w:rFonts w:ascii="Arial" w:hAnsi="Arial" w:cs="Arial"/>
          <w:bCs/>
          <w:i/>
          <w:iCs/>
          <w:sz w:val="20"/>
        </w:rPr>
        <w:t>Beer’s role as an engine of the Romanian economy is confirmed also by the added value it generates in all related fields of activity which exceeds 860 million euro annually. This adds to significant direct and indirect contributions to the state and local budgets, in excess of 530 million euro/year. We believe a permanent dialogue is required between the authorities and the private sector, so as to identify those public policies that have a real capacity to generate growth for the local economy – by stimulating investments – implicitly by bringing welfare for all the Romanians – through proper salary regulations</w:t>
      </w:r>
      <w:r w:rsidR="00303367" w:rsidRPr="008B26E2">
        <w:rPr>
          <w:rFonts w:ascii="Arial" w:hAnsi="Arial" w:cs="Arial"/>
          <w:bCs/>
          <w:iCs/>
          <w:sz w:val="20"/>
        </w:rPr>
        <w:t>”,</w:t>
      </w:r>
      <w:r w:rsidR="00323293" w:rsidRPr="008B26E2">
        <w:rPr>
          <w:rFonts w:ascii="Arial" w:hAnsi="Arial" w:cs="Arial"/>
          <w:bCs/>
          <w:iCs/>
          <w:sz w:val="20"/>
        </w:rPr>
        <w:t xml:space="preserve"> </w:t>
      </w:r>
      <w:r w:rsidR="0044303C">
        <w:rPr>
          <w:rFonts w:ascii="Arial" w:hAnsi="Arial" w:cs="Arial"/>
          <w:bCs/>
          <w:iCs/>
          <w:sz w:val="20"/>
        </w:rPr>
        <w:t>added</w:t>
      </w:r>
      <w:r w:rsidR="00303367" w:rsidRPr="008B26E2">
        <w:rPr>
          <w:rFonts w:ascii="Arial" w:hAnsi="Arial" w:cs="Arial"/>
          <w:bCs/>
          <w:iCs/>
          <w:sz w:val="20"/>
        </w:rPr>
        <w:t xml:space="preserve"> </w:t>
      </w:r>
      <w:r w:rsidR="000248C1" w:rsidRPr="008B26E2">
        <w:rPr>
          <w:rFonts w:ascii="Arial" w:hAnsi="Arial" w:cs="Arial"/>
          <w:bCs/>
          <w:iCs/>
          <w:sz w:val="20"/>
        </w:rPr>
        <w:t xml:space="preserve">Julia </w:t>
      </w:r>
      <w:proofErr w:type="spellStart"/>
      <w:r w:rsidR="000248C1" w:rsidRPr="008B26E2">
        <w:rPr>
          <w:rFonts w:ascii="Arial" w:hAnsi="Arial" w:cs="Arial"/>
          <w:bCs/>
          <w:iCs/>
          <w:sz w:val="20"/>
        </w:rPr>
        <w:t>Leferman</w:t>
      </w:r>
      <w:proofErr w:type="spellEnd"/>
      <w:r w:rsidR="000946D0" w:rsidRPr="008B26E2">
        <w:rPr>
          <w:rFonts w:ascii="Arial" w:hAnsi="Arial" w:cs="Arial"/>
          <w:bCs/>
          <w:iCs/>
          <w:sz w:val="20"/>
        </w:rPr>
        <w:t xml:space="preserve">, </w:t>
      </w:r>
      <w:r w:rsidR="0044303C">
        <w:rPr>
          <w:rFonts w:ascii="Arial" w:hAnsi="Arial" w:cs="Arial"/>
          <w:bCs/>
          <w:iCs/>
          <w:sz w:val="20"/>
        </w:rPr>
        <w:t>G</w:t>
      </w:r>
      <w:r w:rsidR="000946D0" w:rsidRPr="008B26E2">
        <w:rPr>
          <w:rFonts w:ascii="Arial" w:hAnsi="Arial" w:cs="Arial"/>
          <w:bCs/>
          <w:iCs/>
          <w:sz w:val="20"/>
        </w:rPr>
        <w:t xml:space="preserve">eneral </w:t>
      </w:r>
      <w:r w:rsidR="0044303C">
        <w:rPr>
          <w:rFonts w:ascii="Arial" w:hAnsi="Arial" w:cs="Arial"/>
          <w:bCs/>
          <w:iCs/>
          <w:sz w:val="20"/>
        </w:rPr>
        <w:t xml:space="preserve">Director </w:t>
      </w:r>
      <w:proofErr w:type="gramStart"/>
      <w:r w:rsidR="0044303C">
        <w:rPr>
          <w:rFonts w:ascii="Arial" w:hAnsi="Arial" w:cs="Arial"/>
          <w:bCs/>
          <w:iCs/>
          <w:sz w:val="20"/>
        </w:rPr>
        <w:t>The</w:t>
      </w:r>
      <w:proofErr w:type="gramEnd"/>
      <w:r w:rsidR="0044303C">
        <w:rPr>
          <w:rFonts w:ascii="Arial" w:hAnsi="Arial" w:cs="Arial"/>
          <w:bCs/>
          <w:iCs/>
          <w:sz w:val="20"/>
        </w:rPr>
        <w:t xml:space="preserve"> Brewers of Romania Association</w:t>
      </w:r>
      <w:r w:rsidR="00C720A3" w:rsidRPr="008B26E2">
        <w:rPr>
          <w:rFonts w:ascii="Arial" w:hAnsi="Arial" w:cs="Arial"/>
          <w:bCs/>
          <w:iCs/>
          <w:sz w:val="20"/>
        </w:rPr>
        <w:t>.</w:t>
      </w:r>
    </w:p>
    <w:p w:rsidR="00110CCA" w:rsidRPr="008B26E2" w:rsidRDefault="00110CCA" w:rsidP="00BE5078">
      <w:pPr>
        <w:shd w:val="clear" w:color="auto" w:fill="FFFFFF" w:themeFill="background1"/>
        <w:autoSpaceDE w:val="0"/>
        <w:autoSpaceDN w:val="0"/>
        <w:adjustRightInd w:val="0"/>
        <w:spacing w:after="0" w:line="276" w:lineRule="auto"/>
        <w:jc w:val="both"/>
        <w:rPr>
          <w:rFonts w:ascii="Arial" w:hAnsi="Arial" w:cs="Arial"/>
          <w:bCs/>
          <w:iCs/>
          <w:sz w:val="20"/>
        </w:rPr>
      </w:pPr>
    </w:p>
    <w:p w:rsidR="0054649A" w:rsidRPr="008B26E2" w:rsidRDefault="0044303C" w:rsidP="00D6118C">
      <w:pPr>
        <w:shd w:val="clear" w:color="auto" w:fill="FFFFFF" w:themeFill="background1"/>
        <w:autoSpaceDE w:val="0"/>
        <w:autoSpaceDN w:val="0"/>
        <w:adjustRightInd w:val="0"/>
        <w:spacing w:after="120" w:line="276" w:lineRule="auto"/>
        <w:jc w:val="both"/>
        <w:rPr>
          <w:rFonts w:ascii="Arial" w:hAnsi="Arial" w:cs="Arial"/>
          <w:b/>
          <w:bCs/>
          <w:iCs/>
          <w:sz w:val="20"/>
        </w:rPr>
      </w:pPr>
      <w:r>
        <w:rPr>
          <w:rFonts w:ascii="Arial" w:hAnsi="Arial" w:cs="Arial"/>
          <w:b/>
          <w:bCs/>
          <w:iCs/>
          <w:sz w:val="20"/>
        </w:rPr>
        <w:t>Key data in</w:t>
      </w:r>
      <w:r w:rsidR="0054649A" w:rsidRPr="008B26E2">
        <w:rPr>
          <w:rFonts w:ascii="Arial" w:hAnsi="Arial" w:cs="Arial"/>
          <w:b/>
          <w:bCs/>
          <w:iCs/>
          <w:sz w:val="20"/>
        </w:rPr>
        <w:t xml:space="preserve"> 201</w:t>
      </w:r>
      <w:r w:rsidR="00E75BD9" w:rsidRPr="008B26E2">
        <w:rPr>
          <w:rFonts w:ascii="Arial" w:hAnsi="Arial" w:cs="Arial"/>
          <w:b/>
          <w:bCs/>
          <w:iCs/>
          <w:sz w:val="20"/>
        </w:rPr>
        <w:t>7</w:t>
      </w:r>
    </w:p>
    <w:p w:rsidR="00BE5078" w:rsidRPr="008B26E2" w:rsidRDefault="0044303C" w:rsidP="00BE5078">
      <w:pPr>
        <w:pStyle w:val="Listparagraf"/>
        <w:numPr>
          <w:ilvl w:val="0"/>
          <w:numId w:val="3"/>
        </w:numPr>
        <w:shd w:val="clear" w:color="auto" w:fill="FFFFFF" w:themeFill="background1"/>
        <w:spacing w:line="276" w:lineRule="auto"/>
        <w:jc w:val="both"/>
        <w:rPr>
          <w:rFonts w:ascii="Arial" w:hAnsi="Arial" w:cs="Arial"/>
          <w:bCs/>
          <w:iCs/>
          <w:sz w:val="20"/>
        </w:rPr>
      </w:pPr>
      <w:r>
        <w:rPr>
          <w:rFonts w:ascii="Arial" w:hAnsi="Arial" w:cs="Arial"/>
          <w:b/>
          <w:bCs/>
          <w:sz w:val="20"/>
        </w:rPr>
        <w:t>Investments</w:t>
      </w:r>
      <w:r w:rsidR="00460DDA" w:rsidRPr="008B26E2">
        <w:rPr>
          <w:rFonts w:ascii="Arial" w:hAnsi="Arial" w:cs="Arial"/>
          <w:bCs/>
          <w:sz w:val="20"/>
          <w:vertAlign w:val="superscript"/>
        </w:rPr>
        <w:footnoteReference w:id="3"/>
      </w:r>
      <w:r w:rsidR="0054649A" w:rsidRPr="008B26E2">
        <w:rPr>
          <w:rFonts w:ascii="Arial" w:hAnsi="Arial" w:cs="Arial"/>
          <w:bCs/>
          <w:iCs/>
          <w:sz w:val="20"/>
        </w:rPr>
        <w:t xml:space="preserve">: </w:t>
      </w:r>
      <w:r w:rsidR="00EB3EFE">
        <w:rPr>
          <w:rFonts w:ascii="Arial" w:hAnsi="Arial" w:cs="Arial"/>
          <w:bCs/>
          <w:iCs/>
          <w:sz w:val="20"/>
        </w:rPr>
        <w:t>the investment efforts of the members of the Association have been constant in time, the total level of the investments registering an upward trend also in 2017, compared to the previous year. Thus, the value of the investments in 2017 amounted to</w:t>
      </w:r>
      <w:r w:rsidR="00987352" w:rsidRPr="008B26E2">
        <w:rPr>
          <w:rFonts w:ascii="Arial" w:hAnsi="Arial" w:cs="Arial"/>
          <w:bCs/>
          <w:iCs/>
          <w:sz w:val="20"/>
        </w:rPr>
        <w:t>71</w:t>
      </w:r>
      <w:r w:rsidR="00EB3EFE">
        <w:rPr>
          <w:rFonts w:ascii="Arial" w:hAnsi="Arial" w:cs="Arial"/>
          <w:bCs/>
          <w:iCs/>
          <w:sz w:val="20"/>
        </w:rPr>
        <w:t>.</w:t>
      </w:r>
      <w:r w:rsidR="00987352" w:rsidRPr="008B26E2">
        <w:rPr>
          <w:rFonts w:ascii="Arial" w:hAnsi="Arial" w:cs="Arial"/>
          <w:bCs/>
          <w:iCs/>
          <w:sz w:val="20"/>
        </w:rPr>
        <w:t xml:space="preserve">8 </w:t>
      </w:r>
      <w:r w:rsidR="00EB3EFE">
        <w:rPr>
          <w:rFonts w:ascii="Arial" w:hAnsi="Arial" w:cs="Arial"/>
          <w:bCs/>
          <w:iCs/>
          <w:sz w:val="20"/>
        </w:rPr>
        <w:t>million</w:t>
      </w:r>
      <w:r w:rsidR="00987352" w:rsidRPr="008B26E2">
        <w:rPr>
          <w:rFonts w:ascii="Arial" w:hAnsi="Arial" w:cs="Arial"/>
          <w:bCs/>
          <w:iCs/>
          <w:sz w:val="20"/>
        </w:rPr>
        <w:t xml:space="preserve"> euro, </w:t>
      </w:r>
      <w:r w:rsidR="00EB3EFE">
        <w:rPr>
          <w:rFonts w:ascii="Arial" w:hAnsi="Arial" w:cs="Arial"/>
          <w:bCs/>
          <w:iCs/>
          <w:sz w:val="20"/>
        </w:rPr>
        <w:t>up by</w:t>
      </w:r>
      <w:r w:rsidR="00987352" w:rsidRPr="008B26E2">
        <w:rPr>
          <w:rFonts w:ascii="Arial" w:hAnsi="Arial" w:cs="Arial"/>
          <w:bCs/>
          <w:iCs/>
          <w:sz w:val="20"/>
        </w:rPr>
        <w:t xml:space="preserve"> </w:t>
      </w:r>
      <w:r w:rsidR="0054649A" w:rsidRPr="008B26E2">
        <w:rPr>
          <w:rFonts w:ascii="Arial" w:hAnsi="Arial" w:cs="Arial"/>
          <w:bCs/>
          <w:iCs/>
          <w:sz w:val="20"/>
        </w:rPr>
        <w:t xml:space="preserve">2 </w:t>
      </w:r>
      <w:r w:rsidR="00EB3EFE">
        <w:rPr>
          <w:rFonts w:ascii="Arial" w:hAnsi="Arial" w:cs="Arial"/>
          <w:bCs/>
          <w:iCs/>
          <w:sz w:val="20"/>
        </w:rPr>
        <w:t>million</w:t>
      </w:r>
      <w:r w:rsidR="0054649A" w:rsidRPr="008B26E2">
        <w:rPr>
          <w:rFonts w:ascii="Arial" w:hAnsi="Arial" w:cs="Arial"/>
          <w:bCs/>
          <w:iCs/>
          <w:sz w:val="20"/>
        </w:rPr>
        <w:t xml:space="preserve"> euro </w:t>
      </w:r>
      <w:r w:rsidR="00EB3EFE">
        <w:rPr>
          <w:rFonts w:ascii="Arial" w:hAnsi="Arial" w:cs="Arial"/>
          <w:bCs/>
          <w:iCs/>
          <w:sz w:val="20"/>
        </w:rPr>
        <w:t>compared to the previous year</w:t>
      </w:r>
      <w:r w:rsidR="0054649A" w:rsidRPr="008B26E2">
        <w:rPr>
          <w:rFonts w:ascii="Arial" w:hAnsi="Arial" w:cs="Arial"/>
          <w:bCs/>
          <w:iCs/>
          <w:sz w:val="20"/>
        </w:rPr>
        <w:t xml:space="preserve">. </w:t>
      </w:r>
    </w:p>
    <w:p w:rsidR="0054649A" w:rsidRPr="008B26E2" w:rsidRDefault="00EB3EFE" w:rsidP="00BE5078">
      <w:pPr>
        <w:pStyle w:val="Listparagraf"/>
        <w:shd w:val="clear" w:color="auto" w:fill="FFFFFF" w:themeFill="background1"/>
        <w:spacing w:line="276" w:lineRule="auto"/>
        <w:ind w:left="360"/>
        <w:jc w:val="both"/>
        <w:rPr>
          <w:rFonts w:ascii="Arial" w:hAnsi="Arial" w:cs="Arial"/>
          <w:bCs/>
          <w:iCs/>
          <w:sz w:val="20"/>
        </w:rPr>
      </w:pPr>
      <w:r>
        <w:rPr>
          <w:rFonts w:ascii="Arial" w:hAnsi="Arial" w:cs="Arial"/>
          <w:bCs/>
          <w:iCs/>
          <w:sz w:val="20"/>
        </w:rPr>
        <w:t>To date</w:t>
      </w:r>
      <w:r w:rsidR="0054649A" w:rsidRPr="008B26E2">
        <w:rPr>
          <w:rFonts w:ascii="Arial" w:hAnsi="Arial" w:cs="Arial"/>
          <w:bCs/>
          <w:iCs/>
          <w:sz w:val="20"/>
        </w:rPr>
        <w:t xml:space="preserve">, </w:t>
      </w:r>
      <w:r w:rsidR="00280447">
        <w:rPr>
          <w:rFonts w:ascii="Arial" w:hAnsi="Arial" w:cs="Arial"/>
          <w:bCs/>
          <w:iCs/>
          <w:sz w:val="20"/>
        </w:rPr>
        <w:t>the</w:t>
      </w:r>
      <w:r w:rsidR="0054649A" w:rsidRPr="008B26E2">
        <w:rPr>
          <w:rFonts w:ascii="Arial" w:hAnsi="Arial" w:cs="Arial"/>
          <w:bCs/>
          <w:iCs/>
          <w:sz w:val="20"/>
        </w:rPr>
        <w:t xml:space="preserve"> cumulate</w:t>
      </w:r>
      <w:r w:rsidR="00280447">
        <w:rPr>
          <w:rFonts w:ascii="Arial" w:hAnsi="Arial" w:cs="Arial"/>
          <w:bCs/>
          <w:iCs/>
          <w:sz w:val="20"/>
        </w:rPr>
        <w:t>d investments made by the Association members since they entered the market have amounted to 1.47 billion euro in total</w:t>
      </w:r>
      <w:r w:rsidR="0054649A" w:rsidRPr="008B26E2">
        <w:rPr>
          <w:rFonts w:ascii="Arial" w:hAnsi="Arial" w:cs="Arial"/>
          <w:bCs/>
          <w:iCs/>
          <w:sz w:val="20"/>
        </w:rPr>
        <w:t xml:space="preserve">. </w:t>
      </w:r>
    </w:p>
    <w:p w:rsidR="00110CCA" w:rsidRPr="008B26E2" w:rsidRDefault="00110CCA" w:rsidP="00BE5078">
      <w:pPr>
        <w:pStyle w:val="Listparagraf"/>
        <w:shd w:val="clear" w:color="auto" w:fill="FFFFFF" w:themeFill="background1"/>
        <w:spacing w:line="276" w:lineRule="auto"/>
        <w:ind w:left="360"/>
        <w:jc w:val="both"/>
        <w:rPr>
          <w:rFonts w:ascii="Arial" w:hAnsi="Arial" w:cs="Arial"/>
          <w:bCs/>
          <w:iCs/>
          <w:sz w:val="20"/>
        </w:rPr>
      </w:pPr>
    </w:p>
    <w:p w:rsidR="00BE5078" w:rsidRPr="008B26E2" w:rsidRDefault="00BE5078" w:rsidP="00BE5078">
      <w:pPr>
        <w:pStyle w:val="Listparagraf"/>
        <w:shd w:val="clear" w:color="auto" w:fill="FFFFFF" w:themeFill="background1"/>
        <w:ind w:left="360"/>
        <w:rPr>
          <w:rFonts w:ascii="Arial" w:hAnsi="Arial" w:cs="Arial"/>
          <w:bCs/>
          <w:sz w:val="20"/>
        </w:rPr>
      </w:pPr>
    </w:p>
    <w:p w:rsidR="00BE5078" w:rsidRPr="0044303C" w:rsidRDefault="00BE5078" w:rsidP="00BE5078">
      <w:pPr>
        <w:pStyle w:val="Listparagraf"/>
        <w:shd w:val="clear" w:color="auto" w:fill="FFFFFF" w:themeFill="background1"/>
        <w:ind w:left="360"/>
        <w:rPr>
          <w:rFonts w:ascii="Arial" w:hAnsi="Arial" w:cs="Arial"/>
          <w:bCs/>
          <w:sz w:val="20"/>
          <w:lang w:val="ro-RO"/>
        </w:rPr>
      </w:pPr>
    </w:p>
    <w:p w:rsidR="00623539" w:rsidRPr="008B26E2" w:rsidRDefault="00280447" w:rsidP="00A84D45">
      <w:pPr>
        <w:pStyle w:val="Listparagraf"/>
        <w:numPr>
          <w:ilvl w:val="0"/>
          <w:numId w:val="2"/>
        </w:numPr>
        <w:shd w:val="clear" w:color="auto" w:fill="FFFFFF" w:themeFill="background1"/>
        <w:jc w:val="both"/>
        <w:rPr>
          <w:rFonts w:ascii="Arial" w:hAnsi="Arial" w:cs="Arial"/>
          <w:bCs/>
          <w:sz w:val="20"/>
        </w:rPr>
      </w:pPr>
      <w:r>
        <w:rPr>
          <w:rFonts w:ascii="Arial" w:hAnsi="Arial" w:cs="Arial"/>
          <w:b/>
          <w:bCs/>
          <w:sz w:val="20"/>
        </w:rPr>
        <w:t>Consumers’ preferences according to packaging types</w:t>
      </w:r>
      <w:r w:rsidR="00460DDA" w:rsidRPr="008B26E2">
        <w:rPr>
          <w:rFonts w:ascii="Arial" w:hAnsi="Arial" w:cs="Arial"/>
          <w:bCs/>
          <w:sz w:val="20"/>
          <w:vertAlign w:val="superscript"/>
        </w:rPr>
        <w:footnoteReference w:id="4"/>
      </w:r>
      <w:r w:rsidR="00623539" w:rsidRPr="008B26E2">
        <w:rPr>
          <w:rFonts w:ascii="Arial" w:hAnsi="Arial" w:cs="Arial"/>
          <w:bCs/>
          <w:sz w:val="20"/>
        </w:rPr>
        <w:t xml:space="preserve">: </w:t>
      </w:r>
      <w:r>
        <w:rPr>
          <w:rFonts w:ascii="Arial" w:hAnsi="Arial" w:cs="Arial"/>
          <w:bCs/>
          <w:sz w:val="20"/>
        </w:rPr>
        <w:t>the market structure based on packaging has remained almost unchanged compared to the previous year, with two small variations year on year</w:t>
      </w:r>
      <w:r w:rsidR="00623539" w:rsidRPr="008B26E2">
        <w:rPr>
          <w:rFonts w:ascii="Arial" w:hAnsi="Arial" w:cs="Arial"/>
          <w:bCs/>
          <w:sz w:val="20"/>
        </w:rPr>
        <w:t xml:space="preserve">. </w:t>
      </w:r>
      <w:r>
        <w:rPr>
          <w:rFonts w:ascii="Arial" w:hAnsi="Arial" w:cs="Arial"/>
          <w:bCs/>
          <w:sz w:val="20"/>
        </w:rPr>
        <w:t>Only</w:t>
      </w:r>
      <w:r w:rsidR="00623539" w:rsidRPr="008B26E2">
        <w:rPr>
          <w:rFonts w:ascii="Arial" w:hAnsi="Arial" w:cs="Arial"/>
          <w:bCs/>
          <w:sz w:val="20"/>
        </w:rPr>
        <w:t xml:space="preserve"> PET</w:t>
      </w:r>
      <w:r>
        <w:rPr>
          <w:rFonts w:ascii="Arial" w:hAnsi="Arial" w:cs="Arial"/>
          <w:bCs/>
          <w:sz w:val="20"/>
        </w:rPr>
        <w:t xml:space="preserve"> bottled beer has registered decreases for the second year in a row</w:t>
      </w:r>
      <w:r w:rsidR="00A84D45" w:rsidRPr="008B26E2">
        <w:rPr>
          <w:rFonts w:ascii="Arial" w:hAnsi="Arial" w:cs="Arial"/>
          <w:bCs/>
          <w:sz w:val="20"/>
        </w:rPr>
        <w:t>.</w:t>
      </w:r>
    </w:p>
    <w:p w:rsidR="00623539" w:rsidRPr="008B26E2" w:rsidRDefault="00280447" w:rsidP="00BE5078">
      <w:pPr>
        <w:pStyle w:val="Listparagraf"/>
        <w:numPr>
          <w:ilvl w:val="1"/>
          <w:numId w:val="2"/>
        </w:numPr>
        <w:shd w:val="clear" w:color="auto" w:fill="FFFFFF" w:themeFill="background1"/>
        <w:rPr>
          <w:rFonts w:ascii="Arial" w:hAnsi="Arial" w:cs="Arial"/>
          <w:bCs/>
          <w:sz w:val="20"/>
        </w:rPr>
      </w:pPr>
      <w:r>
        <w:rPr>
          <w:rFonts w:ascii="Arial" w:hAnsi="Arial" w:cs="Arial"/>
          <w:bCs/>
          <w:sz w:val="20"/>
        </w:rPr>
        <w:t>Bottle</w:t>
      </w:r>
      <w:r w:rsidR="00623539" w:rsidRPr="008B26E2">
        <w:rPr>
          <w:rFonts w:ascii="Arial" w:hAnsi="Arial" w:cs="Arial"/>
          <w:bCs/>
          <w:sz w:val="20"/>
        </w:rPr>
        <w:t>: 27</w:t>
      </w:r>
      <w:r>
        <w:rPr>
          <w:rFonts w:ascii="Arial" w:hAnsi="Arial" w:cs="Arial"/>
          <w:bCs/>
          <w:sz w:val="20"/>
        </w:rPr>
        <w:t>.</w:t>
      </w:r>
      <w:r w:rsidR="00623539" w:rsidRPr="008B26E2">
        <w:rPr>
          <w:rFonts w:ascii="Arial" w:hAnsi="Arial" w:cs="Arial"/>
          <w:bCs/>
          <w:sz w:val="20"/>
        </w:rPr>
        <w:t>46% (-0</w:t>
      </w:r>
      <w:r>
        <w:rPr>
          <w:rFonts w:ascii="Arial" w:hAnsi="Arial" w:cs="Arial"/>
          <w:bCs/>
          <w:sz w:val="20"/>
        </w:rPr>
        <w:t>.</w:t>
      </w:r>
      <w:r w:rsidR="00623539" w:rsidRPr="008B26E2">
        <w:rPr>
          <w:rFonts w:ascii="Arial" w:hAnsi="Arial" w:cs="Arial"/>
          <w:bCs/>
          <w:sz w:val="20"/>
        </w:rPr>
        <w:t>22 pp)</w:t>
      </w:r>
    </w:p>
    <w:p w:rsidR="00623539" w:rsidRPr="008B26E2" w:rsidRDefault="00280447" w:rsidP="00BE5078">
      <w:pPr>
        <w:pStyle w:val="Listparagraf"/>
        <w:numPr>
          <w:ilvl w:val="1"/>
          <w:numId w:val="2"/>
        </w:numPr>
        <w:shd w:val="clear" w:color="auto" w:fill="FFFFFF" w:themeFill="background1"/>
        <w:rPr>
          <w:rFonts w:ascii="Arial" w:hAnsi="Arial" w:cs="Arial"/>
          <w:bCs/>
          <w:sz w:val="20"/>
        </w:rPr>
      </w:pPr>
      <w:r>
        <w:rPr>
          <w:rFonts w:ascii="Arial" w:hAnsi="Arial" w:cs="Arial"/>
          <w:bCs/>
          <w:sz w:val="20"/>
        </w:rPr>
        <w:t>Can</w:t>
      </w:r>
      <w:r w:rsidR="00623539" w:rsidRPr="008B26E2">
        <w:rPr>
          <w:rFonts w:ascii="Arial" w:hAnsi="Arial" w:cs="Arial"/>
          <w:bCs/>
          <w:sz w:val="20"/>
        </w:rPr>
        <w:t>: 18</w:t>
      </w:r>
      <w:r>
        <w:rPr>
          <w:rFonts w:ascii="Arial" w:hAnsi="Arial" w:cs="Arial"/>
          <w:bCs/>
          <w:sz w:val="20"/>
        </w:rPr>
        <w:t>.</w:t>
      </w:r>
      <w:r w:rsidR="00623539" w:rsidRPr="008B26E2">
        <w:rPr>
          <w:rFonts w:ascii="Arial" w:hAnsi="Arial" w:cs="Arial"/>
          <w:bCs/>
          <w:sz w:val="20"/>
        </w:rPr>
        <w:t>2% (+1</w:t>
      </w:r>
      <w:r>
        <w:rPr>
          <w:rFonts w:ascii="Arial" w:hAnsi="Arial" w:cs="Arial"/>
          <w:bCs/>
          <w:sz w:val="20"/>
        </w:rPr>
        <w:t>.</w:t>
      </w:r>
      <w:r w:rsidR="00623539" w:rsidRPr="008B26E2">
        <w:rPr>
          <w:rFonts w:ascii="Arial" w:hAnsi="Arial" w:cs="Arial"/>
          <w:bCs/>
          <w:sz w:val="20"/>
        </w:rPr>
        <w:t>1 pp)</w:t>
      </w:r>
    </w:p>
    <w:p w:rsidR="00623539" w:rsidRPr="008B26E2" w:rsidRDefault="00623539" w:rsidP="00BE5078">
      <w:pPr>
        <w:pStyle w:val="Listparagraf"/>
        <w:numPr>
          <w:ilvl w:val="1"/>
          <w:numId w:val="2"/>
        </w:numPr>
        <w:shd w:val="clear" w:color="auto" w:fill="FFFFFF" w:themeFill="background1"/>
        <w:rPr>
          <w:rFonts w:ascii="Arial" w:hAnsi="Arial" w:cs="Arial"/>
          <w:bCs/>
          <w:sz w:val="20"/>
        </w:rPr>
      </w:pPr>
      <w:r w:rsidRPr="008B26E2">
        <w:rPr>
          <w:rFonts w:ascii="Arial" w:hAnsi="Arial" w:cs="Arial"/>
          <w:bCs/>
          <w:sz w:val="20"/>
        </w:rPr>
        <w:t>Keg: 3</w:t>
      </w:r>
      <w:r w:rsidR="00280447">
        <w:rPr>
          <w:rFonts w:ascii="Arial" w:hAnsi="Arial" w:cs="Arial"/>
          <w:bCs/>
          <w:sz w:val="20"/>
        </w:rPr>
        <w:t>.</w:t>
      </w:r>
      <w:r w:rsidRPr="008B26E2">
        <w:rPr>
          <w:rFonts w:ascii="Arial" w:hAnsi="Arial" w:cs="Arial"/>
          <w:bCs/>
          <w:sz w:val="20"/>
        </w:rPr>
        <w:t>38% (-0</w:t>
      </w:r>
      <w:r w:rsidR="00280447">
        <w:rPr>
          <w:rFonts w:ascii="Arial" w:hAnsi="Arial" w:cs="Arial"/>
          <w:bCs/>
          <w:sz w:val="20"/>
        </w:rPr>
        <w:t>.</w:t>
      </w:r>
      <w:r w:rsidRPr="008B26E2">
        <w:rPr>
          <w:rFonts w:ascii="Arial" w:hAnsi="Arial" w:cs="Arial"/>
          <w:bCs/>
          <w:sz w:val="20"/>
        </w:rPr>
        <w:t>27 pp)</w:t>
      </w:r>
    </w:p>
    <w:p w:rsidR="00623539" w:rsidRPr="008B26E2" w:rsidRDefault="00623539" w:rsidP="00BE5078">
      <w:pPr>
        <w:pStyle w:val="Listparagraf"/>
        <w:numPr>
          <w:ilvl w:val="1"/>
          <w:numId w:val="2"/>
        </w:numPr>
        <w:shd w:val="clear" w:color="auto" w:fill="FFFFFF" w:themeFill="background1"/>
        <w:rPr>
          <w:rFonts w:ascii="Arial" w:hAnsi="Arial" w:cs="Arial"/>
          <w:bCs/>
          <w:sz w:val="20"/>
        </w:rPr>
      </w:pPr>
      <w:r w:rsidRPr="008B26E2">
        <w:rPr>
          <w:rFonts w:ascii="Arial" w:hAnsi="Arial" w:cs="Arial"/>
          <w:bCs/>
          <w:sz w:val="20"/>
        </w:rPr>
        <w:t>PET: 50</w:t>
      </w:r>
      <w:r w:rsidR="00280447">
        <w:rPr>
          <w:rFonts w:ascii="Arial" w:hAnsi="Arial" w:cs="Arial"/>
          <w:bCs/>
          <w:sz w:val="20"/>
        </w:rPr>
        <w:t>.</w:t>
      </w:r>
      <w:r w:rsidRPr="008B26E2">
        <w:rPr>
          <w:rFonts w:ascii="Arial" w:hAnsi="Arial" w:cs="Arial"/>
          <w:bCs/>
          <w:sz w:val="20"/>
        </w:rPr>
        <w:t>94% (-0</w:t>
      </w:r>
      <w:r w:rsidR="00280447">
        <w:rPr>
          <w:rFonts w:ascii="Arial" w:hAnsi="Arial" w:cs="Arial"/>
          <w:bCs/>
          <w:sz w:val="20"/>
        </w:rPr>
        <w:t>.</w:t>
      </w:r>
      <w:r w:rsidRPr="008B26E2">
        <w:rPr>
          <w:rFonts w:ascii="Arial" w:hAnsi="Arial" w:cs="Arial"/>
          <w:bCs/>
          <w:sz w:val="20"/>
        </w:rPr>
        <w:t>62 pp)</w:t>
      </w:r>
    </w:p>
    <w:p w:rsidR="00110CCA" w:rsidRPr="008B26E2" w:rsidRDefault="00110CCA" w:rsidP="00BE5078">
      <w:pPr>
        <w:pStyle w:val="Listparagraf"/>
        <w:shd w:val="clear" w:color="auto" w:fill="FFFFFF" w:themeFill="background1"/>
        <w:ind w:left="1080"/>
        <w:rPr>
          <w:rFonts w:ascii="Arial" w:hAnsi="Arial" w:cs="Arial"/>
          <w:bCs/>
          <w:sz w:val="20"/>
        </w:rPr>
      </w:pPr>
    </w:p>
    <w:p w:rsidR="00623539" w:rsidRPr="008B26E2" w:rsidRDefault="00623539" w:rsidP="00BE5078">
      <w:pPr>
        <w:pStyle w:val="Listparagraf"/>
        <w:numPr>
          <w:ilvl w:val="0"/>
          <w:numId w:val="2"/>
        </w:numPr>
        <w:shd w:val="clear" w:color="auto" w:fill="FFFFFF" w:themeFill="background1"/>
        <w:autoSpaceDE w:val="0"/>
        <w:autoSpaceDN w:val="0"/>
        <w:adjustRightInd w:val="0"/>
        <w:spacing w:after="0" w:line="276" w:lineRule="auto"/>
        <w:jc w:val="both"/>
        <w:rPr>
          <w:rFonts w:ascii="Arial" w:hAnsi="Arial" w:cs="Arial"/>
          <w:bCs/>
          <w:sz w:val="20"/>
        </w:rPr>
      </w:pPr>
      <w:r w:rsidRPr="008B26E2">
        <w:rPr>
          <w:rFonts w:ascii="Arial" w:hAnsi="Arial" w:cs="Arial"/>
          <w:b/>
          <w:bCs/>
          <w:sz w:val="20"/>
        </w:rPr>
        <w:t>Import</w:t>
      </w:r>
      <w:r w:rsidR="00280447">
        <w:rPr>
          <w:rFonts w:ascii="Arial" w:hAnsi="Arial" w:cs="Arial"/>
          <w:b/>
          <w:bCs/>
          <w:sz w:val="20"/>
        </w:rPr>
        <w:t>s</w:t>
      </w:r>
      <w:r w:rsidR="00460DDA" w:rsidRPr="008B26E2">
        <w:rPr>
          <w:rFonts w:ascii="Arial" w:hAnsi="Arial" w:cs="Arial"/>
          <w:bCs/>
          <w:sz w:val="20"/>
          <w:vertAlign w:val="superscript"/>
        </w:rPr>
        <w:footnoteReference w:id="5"/>
      </w:r>
      <w:r w:rsidRPr="008B26E2">
        <w:rPr>
          <w:rFonts w:ascii="Arial" w:hAnsi="Arial" w:cs="Arial"/>
          <w:bCs/>
          <w:sz w:val="20"/>
        </w:rPr>
        <w:t xml:space="preserve">: </w:t>
      </w:r>
      <w:r w:rsidR="00280447">
        <w:rPr>
          <w:rFonts w:ascii="Arial" w:hAnsi="Arial" w:cs="Arial"/>
          <w:bCs/>
          <w:sz w:val="20"/>
        </w:rPr>
        <w:t>despite a very slight increase in imports throughout 2017, of only 0.03 million</w:t>
      </w:r>
      <w:r w:rsidRPr="008B26E2">
        <w:rPr>
          <w:rFonts w:ascii="Arial" w:hAnsi="Arial" w:cs="Arial"/>
          <w:bCs/>
          <w:sz w:val="20"/>
        </w:rPr>
        <w:t xml:space="preserve"> </w:t>
      </w:r>
      <w:r w:rsidRPr="008B26E2">
        <w:rPr>
          <w:rFonts w:ascii="Arial" w:hAnsi="Arial" w:cs="Arial"/>
          <w:bCs/>
          <w:iCs/>
          <w:sz w:val="20"/>
        </w:rPr>
        <w:t xml:space="preserve">Hl, </w:t>
      </w:r>
      <w:r w:rsidR="00280447">
        <w:rPr>
          <w:rFonts w:ascii="Arial" w:hAnsi="Arial" w:cs="Arial"/>
          <w:bCs/>
          <w:iCs/>
          <w:sz w:val="20"/>
        </w:rPr>
        <w:t>with a total of</w:t>
      </w:r>
      <w:r w:rsidRPr="008B26E2">
        <w:rPr>
          <w:rFonts w:ascii="Arial" w:hAnsi="Arial" w:cs="Arial"/>
          <w:bCs/>
          <w:iCs/>
          <w:sz w:val="20"/>
        </w:rPr>
        <w:t xml:space="preserve"> 0</w:t>
      </w:r>
      <w:r w:rsidR="00280447">
        <w:rPr>
          <w:rFonts w:ascii="Arial" w:hAnsi="Arial" w:cs="Arial"/>
          <w:bCs/>
          <w:iCs/>
          <w:sz w:val="20"/>
        </w:rPr>
        <w:t>.</w:t>
      </w:r>
      <w:r w:rsidRPr="008B26E2">
        <w:rPr>
          <w:rFonts w:ascii="Arial" w:hAnsi="Arial" w:cs="Arial"/>
          <w:bCs/>
          <w:iCs/>
          <w:sz w:val="20"/>
        </w:rPr>
        <w:t xml:space="preserve">47 </w:t>
      </w:r>
      <w:r w:rsidR="00280447">
        <w:rPr>
          <w:rFonts w:ascii="Arial" w:hAnsi="Arial" w:cs="Arial"/>
          <w:bCs/>
          <w:iCs/>
          <w:sz w:val="20"/>
        </w:rPr>
        <w:t>million</w:t>
      </w:r>
      <w:r w:rsidRPr="008B26E2">
        <w:rPr>
          <w:rFonts w:ascii="Arial" w:hAnsi="Arial" w:cs="Arial"/>
          <w:bCs/>
          <w:iCs/>
          <w:sz w:val="20"/>
        </w:rPr>
        <w:t xml:space="preserve"> HL, </w:t>
      </w:r>
      <w:r w:rsidR="00280447">
        <w:rPr>
          <w:rFonts w:ascii="Arial" w:hAnsi="Arial" w:cs="Arial"/>
          <w:bCs/>
          <w:sz w:val="20"/>
        </w:rPr>
        <w:t>the brewing market in Romania continues to keep its profoundly national character, the share of the local production remaining at more than 97% of the internal consumption</w:t>
      </w:r>
      <w:r w:rsidRPr="008B26E2">
        <w:rPr>
          <w:rFonts w:ascii="Arial" w:hAnsi="Arial" w:cs="Arial"/>
          <w:bCs/>
          <w:sz w:val="20"/>
        </w:rPr>
        <w:t xml:space="preserve">. </w:t>
      </w:r>
    </w:p>
    <w:p w:rsidR="00110CCA" w:rsidRPr="008B26E2" w:rsidRDefault="00110CCA" w:rsidP="00BE5078">
      <w:pPr>
        <w:pStyle w:val="Listparagraf"/>
        <w:shd w:val="clear" w:color="auto" w:fill="FFFFFF" w:themeFill="background1"/>
        <w:autoSpaceDE w:val="0"/>
        <w:autoSpaceDN w:val="0"/>
        <w:adjustRightInd w:val="0"/>
        <w:spacing w:after="0" w:line="276" w:lineRule="auto"/>
        <w:ind w:left="360"/>
        <w:jc w:val="both"/>
        <w:rPr>
          <w:rFonts w:ascii="Arial" w:hAnsi="Arial" w:cs="Arial"/>
          <w:bCs/>
          <w:sz w:val="20"/>
        </w:rPr>
      </w:pPr>
    </w:p>
    <w:p w:rsidR="00623539" w:rsidRPr="008B26E2" w:rsidRDefault="00623539" w:rsidP="00BE5078">
      <w:pPr>
        <w:pStyle w:val="Listparagraf"/>
        <w:numPr>
          <w:ilvl w:val="0"/>
          <w:numId w:val="2"/>
        </w:numPr>
        <w:shd w:val="clear" w:color="auto" w:fill="FFFFFF" w:themeFill="background1"/>
        <w:autoSpaceDE w:val="0"/>
        <w:autoSpaceDN w:val="0"/>
        <w:adjustRightInd w:val="0"/>
        <w:spacing w:after="0" w:line="276" w:lineRule="auto"/>
        <w:jc w:val="both"/>
        <w:rPr>
          <w:rFonts w:ascii="Arial" w:hAnsi="Arial" w:cs="Arial"/>
          <w:bCs/>
          <w:iCs/>
          <w:sz w:val="20"/>
        </w:rPr>
      </w:pPr>
      <w:r w:rsidRPr="008B26E2">
        <w:rPr>
          <w:rFonts w:ascii="Arial" w:hAnsi="Arial" w:cs="Arial"/>
          <w:b/>
          <w:bCs/>
          <w:sz w:val="20"/>
        </w:rPr>
        <w:t>Export</w:t>
      </w:r>
      <w:r w:rsidR="00280447">
        <w:rPr>
          <w:rFonts w:ascii="Arial" w:hAnsi="Arial" w:cs="Arial"/>
          <w:b/>
          <w:bCs/>
          <w:sz w:val="20"/>
        </w:rPr>
        <w:t>s</w:t>
      </w:r>
      <w:r w:rsidRPr="008B26E2">
        <w:rPr>
          <w:rFonts w:ascii="Arial" w:hAnsi="Arial" w:cs="Arial"/>
          <w:bCs/>
          <w:sz w:val="20"/>
        </w:rPr>
        <w:t xml:space="preserve">: </w:t>
      </w:r>
      <w:r w:rsidR="00280447">
        <w:rPr>
          <w:rFonts w:ascii="Arial" w:hAnsi="Arial" w:cs="Arial"/>
          <w:bCs/>
          <w:iCs/>
          <w:sz w:val="20"/>
        </w:rPr>
        <w:t>with regard to exports</w:t>
      </w:r>
      <w:r w:rsidRPr="008B26E2">
        <w:rPr>
          <w:rFonts w:ascii="Arial" w:hAnsi="Arial" w:cs="Arial"/>
          <w:bCs/>
          <w:iCs/>
          <w:sz w:val="20"/>
        </w:rPr>
        <w:t xml:space="preserve">, </w:t>
      </w:r>
      <w:r w:rsidR="00280447">
        <w:rPr>
          <w:rFonts w:ascii="Arial" w:hAnsi="Arial" w:cs="Arial"/>
          <w:bCs/>
          <w:iCs/>
          <w:sz w:val="20"/>
        </w:rPr>
        <w:t>they registered a slight decrease</w:t>
      </w:r>
      <w:r w:rsidRPr="008B26E2">
        <w:rPr>
          <w:rFonts w:ascii="Arial" w:hAnsi="Arial" w:cs="Arial"/>
          <w:bCs/>
          <w:iCs/>
          <w:sz w:val="20"/>
        </w:rPr>
        <w:t xml:space="preserve">, </w:t>
      </w:r>
      <w:r w:rsidR="00280447">
        <w:rPr>
          <w:rFonts w:ascii="Arial" w:hAnsi="Arial" w:cs="Arial"/>
          <w:bCs/>
          <w:iCs/>
          <w:sz w:val="20"/>
        </w:rPr>
        <w:t xml:space="preserve">of </w:t>
      </w:r>
      <w:r w:rsidRPr="008B26E2">
        <w:rPr>
          <w:rFonts w:ascii="Arial" w:hAnsi="Arial" w:cs="Arial"/>
          <w:bCs/>
          <w:iCs/>
          <w:sz w:val="20"/>
        </w:rPr>
        <w:t>0</w:t>
      </w:r>
      <w:r w:rsidR="00280447">
        <w:rPr>
          <w:rFonts w:ascii="Arial" w:hAnsi="Arial" w:cs="Arial"/>
          <w:bCs/>
          <w:iCs/>
          <w:sz w:val="20"/>
        </w:rPr>
        <w:t>.</w:t>
      </w:r>
      <w:r w:rsidRPr="008B26E2">
        <w:rPr>
          <w:rFonts w:ascii="Arial" w:hAnsi="Arial" w:cs="Arial"/>
          <w:bCs/>
          <w:iCs/>
          <w:sz w:val="20"/>
        </w:rPr>
        <w:t xml:space="preserve">01 </w:t>
      </w:r>
      <w:r w:rsidR="00280447">
        <w:rPr>
          <w:rFonts w:ascii="Arial" w:hAnsi="Arial" w:cs="Arial"/>
          <w:bCs/>
          <w:iCs/>
          <w:sz w:val="20"/>
        </w:rPr>
        <w:t>million</w:t>
      </w:r>
      <w:r w:rsidRPr="008B26E2">
        <w:rPr>
          <w:rFonts w:ascii="Arial" w:hAnsi="Arial" w:cs="Arial"/>
          <w:bCs/>
          <w:iCs/>
          <w:sz w:val="20"/>
        </w:rPr>
        <w:t xml:space="preserve"> Hl </w:t>
      </w:r>
      <w:r w:rsidR="00280447">
        <w:rPr>
          <w:rFonts w:ascii="Arial" w:hAnsi="Arial" w:cs="Arial"/>
          <w:bCs/>
          <w:iCs/>
          <w:sz w:val="20"/>
        </w:rPr>
        <w:t>compared to the previous year, with a total of</w:t>
      </w:r>
      <w:r w:rsidRPr="008B26E2">
        <w:rPr>
          <w:rFonts w:ascii="Arial" w:hAnsi="Arial" w:cs="Arial"/>
          <w:bCs/>
          <w:iCs/>
          <w:sz w:val="20"/>
        </w:rPr>
        <w:t xml:space="preserve"> 0</w:t>
      </w:r>
      <w:r w:rsidR="00280447">
        <w:rPr>
          <w:rFonts w:ascii="Arial" w:hAnsi="Arial" w:cs="Arial"/>
          <w:bCs/>
          <w:iCs/>
          <w:sz w:val="20"/>
        </w:rPr>
        <w:t>.</w:t>
      </w:r>
      <w:r w:rsidRPr="008B26E2">
        <w:rPr>
          <w:rFonts w:ascii="Arial" w:hAnsi="Arial" w:cs="Arial"/>
          <w:bCs/>
          <w:iCs/>
          <w:sz w:val="20"/>
        </w:rPr>
        <w:t xml:space="preserve">41 </w:t>
      </w:r>
      <w:r w:rsidR="00280447">
        <w:rPr>
          <w:rFonts w:ascii="Arial" w:hAnsi="Arial" w:cs="Arial"/>
          <w:bCs/>
          <w:iCs/>
          <w:sz w:val="20"/>
        </w:rPr>
        <w:t>million</w:t>
      </w:r>
      <w:r w:rsidRPr="008B26E2">
        <w:rPr>
          <w:rFonts w:ascii="Arial" w:hAnsi="Arial" w:cs="Arial"/>
          <w:bCs/>
          <w:iCs/>
          <w:sz w:val="20"/>
        </w:rPr>
        <w:t xml:space="preserve"> Hl.</w:t>
      </w:r>
    </w:p>
    <w:p w:rsidR="00110CCA" w:rsidRPr="008B26E2" w:rsidRDefault="00110CCA" w:rsidP="00BE5078">
      <w:pPr>
        <w:shd w:val="clear" w:color="auto" w:fill="FFFFFF" w:themeFill="background1"/>
        <w:jc w:val="both"/>
        <w:rPr>
          <w:rFonts w:ascii="Arial" w:hAnsi="Arial" w:cs="Arial"/>
          <w:bCs/>
        </w:rPr>
      </w:pPr>
    </w:p>
    <w:p w:rsidR="00A84D45" w:rsidRPr="008B26E2" w:rsidRDefault="00A84D45" w:rsidP="00BE5078">
      <w:pPr>
        <w:shd w:val="clear" w:color="auto" w:fill="FFFFFF" w:themeFill="background1"/>
        <w:jc w:val="both"/>
        <w:rPr>
          <w:rFonts w:ascii="Arial" w:hAnsi="Arial" w:cs="Arial"/>
          <w:bCs/>
          <w:iCs/>
        </w:rPr>
      </w:pPr>
    </w:p>
    <w:p w:rsidR="00A84D45" w:rsidRPr="008B26E2" w:rsidRDefault="00A84D45" w:rsidP="00A84D45">
      <w:pPr>
        <w:shd w:val="clear" w:color="auto" w:fill="FFFFFF" w:themeFill="background1"/>
        <w:jc w:val="center"/>
        <w:rPr>
          <w:rFonts w:ascii="Arial" w:hAnsi="Arial" w:cs="Arial"/>
          <w:bCs/>
          <w:iCs/>
        </w:rPr>
      </w:pPr>
      <w:r w:rsidRPr="008B26E2">
        <w:rPr>
          <w:rFonts w:ascii="Arial" w:hAnsi="Arial" w:cs="Arial"/>
          <w:bCs/>
          <w:iCs/>
        </w:rPr>
        <w:t>***</w:t>
      </w:r>
    </w:p>
    <w:p w:rsidR="00A84D45" w:rsidRPr="008B26E2" w:rsidRDefault="00A84D45" w:rsidP="00BE5078">
      <w:pPr>
        <w:shd w:val="clear" w:color="auto" w:fill="FFFFFF" w:themeFill="background1"/>
        <w:jc w:val="both"/>
        <w:rPr>
          <w:rFonts w:ascii="Arial" w:hAnsi="Arial" w:cs="Arial"/>
          <w:bCs/>
          <w:iCs/>
        </w:rPr>
      </w:pPr>
    </w:p>
    <w:p w:rsidR="00A84D45" w:rsidRPr="008B26E2" w:rsidRDefault="00A84D45" w:rsidP="00BE5078">
      <w:pPr>
        <w:shd w:val="clear" w:color="auto" w:fill="FFFFFF" w:themeFill="background1"/>
        <w:jc w:val="both"/>
        <w:rPr>
          <w:rFonts w:ascii="Arial" w:hAnsi="Arial" w:cs="Arial"/>
          <w:bCs/>
          <w:iCs/>
        </w:rPr>
      </w:pPr>
    </w:p>
    <w:p w:rsidR="00280447" w:rsidRPr="00E859D7" w:rsidRDefault="00280447" w:rsidP="00280447">
      <w:pPr>
        <w:shd w:val="clear" w:color="auto" w:fill="FFFFFF"/>
        <w:jc w:val="both"/>
        <w:rPr>
          <w:rFonts w:ascii="Arial" w:hAnsi="Arial" w:cs="Arial"/>
          <w:b/>
          <w:bCs/>
          <w:iCs/>
          <w:sz w:val="18"/>
        </w:rPr>
      </w:pPr>
      <w:r>
        <w:rPr>
          <w:rFonts w:ascii="Arial" w:hAnsi="Arial" w:cs="Arial"/>
          <w:b/>
          <w:bCs/>
          <w:iCs/>
          <w:sz w:val="18"/>
        </w:rPr>
        <w:t>About the Brewers of Romania Association</w:t>
      </w:r>
    </w:p>
    <w:p w:rsidR="00280447" w:rsidRPr="00E859D7" w:rsidRDefault="00280447" w:rsidP="00280447">
      <w:pPr>
        <w:shd w:val="clear" w:color="auto" w:fill="FFFFFF"/>
        <w:jc w:val="both"/>
        <w:rPr>
          <w:rFonts w:ascii="Arial" w:hAnsi="Arial" w:cs="Arial"/>
          <w:bCs/>
          <w:iCs/>
          <w:sz w:val="18"/>
        </w:rPr>
      </w:pPr>
      <w:r>
        <w:rPr>
          <w:rFonts w:ascii="Arial" w:hAnsi="Arial" w:cs="Arial"/>
          <w:bCs/>
          <w:iCs/>
          <w:sz w:val="18"/>
        </w:rPr>
        <w:t>The Brewers of Romania Association is a genuine symbol of the beer industry in our country. In its 1</w:t>
      </w:r>
      <w:r>
        <w:rPr>
          <w:rFonts w:ascii="Arial" w:hAnsi="Arial" w:cs="Arial"/>
          <w:bCs/>
          <w:iCs/>
          <w:sz w:val="18"/>
        </w:rPr>
        <w:t>4</w:t>
      </w:r>
      <w:r>
        <w:rPr>
          <w:rFonts w:ascii="Arial" w:hAnsi="Arial" w:cs="Arial"/>
          <w:bCs/>
          <w:iCs/>
          <w:sz w:val="18"/>
        </w:rPr>
        <w:t xml:space="preserve"> years of existence, the Brewers of Romania Association succeeded to impose itself locally and internationally, as a common voice of its members, managing to disseminate its values to the business environment, the consumers and the state institutions</w:t>
      </w:r>
      <w:r w:rsidRPr="00E859D7">
        <w:rPr>
          <w:rFonts w:ascii="Arial" w:hAnsi="Arial" w:cs="Arial"/>
          <w:bCs/>
          <w:iCs/>
          <w:sz w:val="18"/>
        </w:rPr>
        <w:t xml:space="preserve">.  </w:t>
      </w:r>
    </w:p>
    <w:p w:rsidR="00280447" w:rsidRPr="00E859D7" w:rsidRDefault="00280447" w:rsidP="00280447">
      <w:pPr>
        <w:shd w:val="clear" w:color="auto" w:fill="FFFFFF"/>
        <w:jc w:val="both"/>
        <w:rPr>
          <w:rFonts w:ascii="Arial" w:hAnsi="Arial" w:cs="Arial"/>
          <w:bCs/>
          <w:iCs/>
          <w:sz w:val="18"/>
        </w:rPr>
      </w:pPr>
      <w:r>
        <w:rPr>
          <w:rFonts w:ascii="Arial" w:hAnsi="Arial" w:cs="Arial"/>
          <w:bCs/>
          <w:iCs/>
          <w:sz w:val="18"/>
        </w:rPr>
        <w:t>Its current membership includes the leading brewers in Romani</w:t>
      </w:r>
      <w:r w:rsidRPr="00E859D7">
        <w:rPr>
          <w:rFonts w:ascii="Arial" w:hAnsi="Arial" w:cs="Arial"/>
          <w:bCs/>
          <w:iCs/>
          <w:sz w:val="18"/>
        </w:rPr>
        <w:t>a: BERGENBIER SA, HEINEKEN Rom</w:t>
      </w:r>
      <w:r>
        <w:rPr>
          <w:rFonts w:ascii="Arial" w:hAnsi="Arial" w:cs="Arial"/>
          <w:bCs/>
          <w:iCs/>
          <w:sz w:val="18"/>
        </w:rPr>
        <w:t>a</w:t>
      </w:r>
      <w:r w:rsidRPr="00E859D7">
        <w:rPr>
          <w:rFonts w:ascii="Arial" w:hAnsi="Arial" w:cs="Arial"/>
          <w:bCs/>
          <w:iCs/>
          <w:sz w:val="18"/>
        </w:rPr>
        <w:t xml:space="preserve">nia SA, UNITED ROMANIAN BREWERIES BEREPROD, URSUS BREWERIES </w:t>
      </w:r>
      <w:r>
        <w:rPr>
          <w:rFonts w:ascii="Arial" w:hAnsi="Arial" w:cs="Arial"/>
          <w:bCs/>
          <w:iCs/>
          <w:sz w:val="18"/>
        </w:rPr>
        <w:t>and</w:t>
      </w:r>
      <w:r w:rsidRPr="00E859D7">
        <w:rPr>
          <w:rFonts w:ascii="Arial" w:hAnsi="Arial" w:cs="Arial"/>
          <w:bCs/>
          <w:iCs/>
          <w:sz w:val="18"/>
        </w:rPr>
        <w:t xml:space="preserve"> MARTENS, </w:t>
      </w:r>
      <w:r>
        <w:rPr>
          <w:rFonts w:ascii="Arial" w:hAnsi="Arial" w:cs="Arial"/>
          <w:bCs/>
          <w:iCs/>
          <w:sz w:val="18"/>
        </w:rPr>
        <w:t>as well as the micro-brewery</w:t>
      </w:r>
      <w:r w:rsidRPr="00E859D7">
        <w:rPr>
          <w:rFonts w:ascii="Arial" w:hAnsi="Arial" w:cs="Arial"/>
          <w:bCs/>
          <w:iCs/>
          <w:sz w:val="18"/>
        </w:rPr>
        <w:t xml:space="preserve"> CLINICA DE BERE. </w:t>
      </w:r>
      <w:r>
        <w:rPr>
          <w:rFonts w:ascii="Arial" w:hAnsi="Arial" w:cs="Arial"/>
          <w:bCs/>
          <w:iCs/>
          <w:sz w:val="18"/>
        </w:rPr>
        <w:t>Together</w:t>
      </w:r>
      <w:r w:rsidRPr="00E859D7">
        <w:rPr>
          <w:rFonts w:ascii="Arial" w:hAnsi="Arial" w:cs="Arial"/>
          <w:bCs/>
          <w:iCs/>
          <w:sz w:val="18"/>
        </w:rPr>
        <w:t xml:space="preserve">, </w:t>
      </w:r>
      <w:r>
        <w:rPr>
          <w:rFonts w:ascii="Arial" w:hAnsi="Arial" w:cs="Arial"/>
          <w:bCs/>
          <w:iCs/>
          <w:sz w:val="18"/>
        </w:rPr>
        <w:t>the top five brewers account for</w:t>
      </w:r>
      <w:r w:rsidRPr="00E859D7">
        <w:rPr>
          <w:rFonts w:ascii="Arial" w:hAnsi="Arial" w:cs="Arial"/>
          <w:bCs/>
          <w:iCs/>
          <w:sz w:val="18"/>
        </w:rPr>
        <w:t xml:space="preserve"> 8</w:t>
      </w:r>
      <w:r>
        <w:rPr>
          <w:rFonts w:ascii="Arial" w:hAnsi="Arial" w:cs="Arial"/>
          <w:bCs/>
          <w:iCs/>
          <w:sz w:val="18"/>
        </w:rPr>
        <w:t>0</w:t>
      </w:r>
      <w:r w:rsidRPr="00E859D7">
        <w:rPr>
          <w:rFonts w:ascii="Arial" w:hAnsi="Arial" w:cs="Arial"/>
          <w:bCs/>
          <w:iCs/>
          <w:sz w:val="18"/>
        </w:rPr>
        <w:t xml:space="preserve">% </w:t>
      </w:r>
      <w:r>
        <w:rPr>
          <w:rFonts w:ascii="Arial" w:hAnsi="Arial" w:cs="Arial"/>
          <w:bCs/>
          <w:iCs/>
          <w:sz w:val="18"/>
        </w:rPr>
        <w:t>of the amount of beer consumed in Romania</w:t>
      </w:r>
      <w:r w:rsidRPr="00E859D7">
        <w:rPr>
          <w:rFonts w:ascii="Arial" w:hAnsi="Arial" w:cs="Arial"/>
          <w:bCs/>
          <w:iCs/>
          <w:sz w:val="18"/>
        </w:rPr>
        <w:t xml:space="preserve">. </w:t>
      </w:r>
      <w:r>
        <w:rPr>
          <w:rFonts w:ascii="Arial" w:hAnsi="Arial" w:cs="Arial"/>
          <w:bCs/>
          <w:iCs/>
          <w:sz w:val="18"/>
        </w:rPr>
        <w:t>The Association also includes representatives of raw material producers</w:t>
      </w:r>
      <w:r w:rsidRPr="00E859D7">
        <w:rPr>
          <w:rFonts w:ascii="Arial" w:hAnsi="Arial" w:cs="Arial"/>
          <w:bCs/>
          <w:iCs/>
          <w:sz w:val="18"/>
        </w:rPr>
        <w:t xml:space="preserve">: SOUFFLET MALT ROMANIA </w:t>
      </w:r>
      <w:r>
        <w:rPr>
          <w:rFonts w:ascii="Arial" w:hAnsi="Arial" w:cs="Arial"/>
          <w:bCs/>
          <w:iCs/>
          <w:sz w:val="18"/>
        </w:rPr>
        <w:t>and the ASSOCIATION OF HOPS PRODUCERS IN ROMANIA</w:t>
      </w:r>
      <w:r w:rsidRPr="00E859D7">
        <w:rPr>
          <w:rFonts w:ascii="Arial" w:hAnsi="Arial" w:cs="Arial"/>
          <w:bCs/>
          <w:iCs/>
          <w:sz w:val="18"/>
        </w:rPr>
        <w:t>.</w:t>
      </w:r>
    </w:p>
    <w:p w:rsidR="00280447" w:rsidRPr="00E859D7" w:rsidRDefault="00280447" w:rsidP="00280447">
      <w:pPr>
        <w:shd w:val="clear" w:color="auto" w:fill="FFFFFF"/>
        <w:jc w:val="both"/>
        <w:rPr>
          <w:rFonts w:ascii="Arial" w:hAnsi="Arial" w:cs="Arial"/>
          <w:bCs/>
          <w:iCs/>
          <w:sz w:val="18"/>
        </w:rPr>
      </w:pPr>
      <w:r>
        <w:rPr>
          <w:rFonts w:ascii="Arial" w:hAnsi="Arial" w:cs="Arial"/>
          <w:bCs/>
          <w:iCs/>
          <w:sz w:val="18"/>
        </w:rPr>
        <w:t>The twelve brewing facilities, including two micro-breweries</w:t>
      </w:r>
      <w:r w:rsidRPr="00E859D7">
        <w:rPr>
          <w:rFonts w:ascii="Arial" w:hAnsi="Arial" w:cs="Arial"/>
          <w:bCs/>
          <w:iCs/>
          <w:sz w:val="18"/>
        </w:rPr>
        <w:t xml:space="preserve">, </w:t>
      </w:r>
      <w:r>
        <w:rPr>
          <w:rFonts w:ascii="Arial" w:hAnsi="Arial" w:cs="Arial"/>
          <w:bCs/>
          <w:iCs/>
          <w:sz w:val="18"/>
        </w:rPr>
        <w:t>owned by the Association members are located in</w:t>
      </w:r>
      <w:r w:rsidRPr="00E859D7">
        <w:rPr>
          <w:rFonts w:ascii="Arial" w:hAnsi="Arial" w:cs="Arial"/>
          <w:bCs/>
          <w:iCs/>
          <w:sz w:val="18"/>
        </w:rPr>
        <w:t xml:space="preserve"> </w:t>
      </w:r>
      <w:proofErr w:type="spellStart"/>
      <w:r w:rsidRPr="00E859D7">
        <w:rPr>
          <w:rFonts w:ascii="Arial" w:hAnsi="Arial" w:cs="Arial"/>
          <w:bCs/>
          <w:iCs/>
          <w:sz w:val="18"/>
        </w:rPr>
        <w:t>Ploieşti</w:t>
      </w:r>
      <w:proofErr w:type="spellEnd"/>
      <w:r w:rsidRPr="00E859D7">
        <w:rPr>
          <w:rFonts w:ascii="Arial" w:hAnsi="Arial" w:cs="Arial"/>
          <w:bCs/>
          <w:iCs/>
          <w:sz w:val="18"/>
        </w:rPr>
        <w:t xml:space="preserve">, </w:t>
      </w:r>
      <w:proofErr w:type="spellStart"/>
      <w:r w:rsidRPr="00E859D7">
        <w:rPr>
          <w:rFonts w:ascii="Arial" w:hAnsi="Arial" w:cs="Arial"/>
          <w:bCs/>
          <w:iCs/>
          <w:sz w:val="18"/>
        </w:rPr>
        <w:t>Constanța</w:t>
      </w:r>
      <w:proofErr w:type="spellEnd"/>
      <w:r w:rsidRPr="00E859D7">
        <w:rPr>
          <w:rFonts w:ascii="Arial" w:hAnsi="Arial" w:cs="Arial"/>
          <w:bCs/>
          <w:iCs/>
          <w:sz w:val="18"/>
        </w:rPr>
        <w:t xml:space="preserve">, Craiova, </w:t>
      </w:r>
      <w:proofErr w:type="spellStart"/>
      <w:r w:rsidRPr="00E859D7">
        <w:rPr>
          <w:rFonts w:ascii="Arial" w:hAnsi="Arial" w:cs="Arial"/>
          <w:bCs/>
          <w:iCs/>
          <w:sz w:val="18"/>
        </w:rPr>
        <w:t>Miercurea</w:t>
      </w:r>
      <w:proofErr w:type="spellEnd"/>
      <w:r w:rsidRPr="00E859D7">
        <w:rPr>
          <w:rFonts w:ascii="Arial" w:hAnsi="Arial" w:cs="Arial"/>
          <w:bCs/>
          <w:iCs/>
          <w:sz w:val="18"/>
        </w:rPr>
        <w:t xml:space="preserve"> </w:t>
      </w:r>
      <w:proofErr w:type="spellStart"/>
      <w:r w:rsidRPr="00E859D7">
        <w:rPr>
          <w:rFonts w:ascii="Arial" w:hAnsi="Arial" w:cs="Arial"/>
          <w:bCs/>
          <w:iCs/>
          <w:sz w:val="18"/>
        </w:rPr>
        <w:t>Ciuc</w:t>
      </w:r>
      <w:proofErr w:type="spellEnd"/>
      <w:r w:rsidRPr="00E859D7">
        <w:rPr>
          <w:rFonts w:ascii="Arial" w:hAnsi="Arial" w:cs="Arial"/>
          <w:bCs/>
          <w:iCs/>
          <w:sz w:val="18"/>
        </w:rPr>
        <w:t xml:space="preserve">, </w:t>
      </w:r>
      <w:proofErr w:type="spellStart"/>
      <w:r w:rsidRPr="00E859D7">
        <w:rPr>
          <w:rFonts w:ascii="Arial" w:hAnsi="Arial" w:cs="Arial"/>
          <w:bCs/>
          <w:iCs/>
          <w:sz w:val="18"/>
        </w:rPr>
        <w:t>Târgu-Mureş</w:t>
      </w:r>
      <w:proofErr w:type="spellEnd"/>
      <w:r w:rsidRPr="00E859D7">
        <w:rPr>
          <w:rFonts w:ascii="Arial" w:hAnsi="Arial" w:cs="Arial"/>
          <w:bCs/>
          <w:iCs/>
          <w:sz w:val="18"/>
        </w:rPr>
        <w:t xml:space="preserve">, </w:t>
      </w:r>
      <w:proofErr w:type="spellStart"/>
      <w:r w:rsidRPr="00E859D7">
        <w:rPr>
          <w:rFonts w:ascii="Arial" w:hAnsi="Arial" w:cs="Arial"/>
          <w:bCs/>
          <w:iCs/>
          <w:sz w:val="18"/>
        </w:rPr>
        <w:t>Pan</w:t>
      </w:r>
      <w:r w:rsidRPr="00E859D7">
        <w:rPr>
          <w:rFonts w:ascii="Arial" w:hAnsi="Arial" w:cs="Arial"/>
          <w:bCs/>
          <w:iCs/>
          <w:sz w:val="18"/>
        </w:rPr>
        <w:softHyphen/>
        <w:t>telimon</w:t>
      </w:r>
      <w:proofErr w:type="spellEnd"/>
      <w:r w:rsidRPr="00E859D7">
        <w:rPr>
          <w:rFonts w:ascii="Arial" w:hAnsi="Arial" w:cs="Arial"/>
          <w:bCs/>
          <w:iCs/>
          <w:sz w:val="18"/>
        </w:rPr>
        <w:t xml:space="preserve">, </w:t>
      </w:r>
      <w:proofErr w:type="spellStart"/>
      <w:r w:rsidRPr="00E859D7">
        <w:rPr>
          <w:rFonts w:ascii="Arial" w:hAnsi="Arial" w:cs="Arial"/>
          <w:bCs/>
          <w:iCs/>
          <w:sz w:val="18"/>
        </w:rPr>
        <w:t>Timişoara</w:t>
      </w:r>
      <w:proofErr w:type="spellEnd"/>
      <w:r w:rsidRPr="00E859D7">
        <w:rPr>
          <w:rFonts w:ascii="Arial" w:hAnsi="Arial" w:cs="Arial"/>
          <w:bCs/>
          <w:iCs/>
          <w:sz w:val="18"/>
        </w:rPr>
        <w:t xml:space="preserve">, </w:t>
      </w:r>
      <w:proofErr w:type="spellStart"/>
      <w:r w:rsidRPr="00E859D7">
        <w:rPr>
          <w:rFonts w:ascii="Arial" w:hAnsi="Arial" w:cs="Arial"/>
          <w:bCs/>
          <w:iCs/>
          <w:sz w:val="18"/>
        </w:rPr>
        <w:t>Buzău</w:t>
      </w:r>
      <w:proofErr w:type="spellEnd"/>
      <w:r w:rsidRPr="00E859D7">
        <w:rPr>
          <w:rFonts w:ascii="Arial" w:hAnsi="Arial" w:cs="Arial"/>
          <w:bCs/>
          <w:iCs/>
          <w:sz w:val="18"/>
        </w:rPr>
        <w:t xml:space="preserve">, </w:t>
      </w:r>
      <w:proofErr w:type="spellStart"/>
      <w:r w:rsidRPr="00E859D7">
        <w:rPr>
          <w:rFonts w:ascii="Arial" w:hAnsi="Arial" w:cs="Arial"/>
          <w:bCs/>
          <w:iCs/>
          <w:sz w:val="18"/>
        </w:rPr>
        <w:t>Braşov</w:t>
      </w:r>
      <w:proofErr w:type="spellEnd"/>
      <w:r w:rsidRPr="00E859D7">
        <w:rPr>
          <w:rFonts w:ascii="Arial" w:hAnsi="Arial" w:cs="Arial"/>
          <w:bCs/>
          <w:iCs/>
          <w:sz w:val="18"/>
        </w:rPr>
        <w:t xml:space="preserve"> </w:t>
      </w:r>
      <w:r>
        <w:rPr>
          <w:rFonts w:ascii="Arial" w:hAnsi="Arial" w:cs="Arial"/>
          <w:bCs/>
          <w:iCs/>
          <w:sz w:val="18"/>
        </w:rPr>
        <w:t>and</w:t>
      </w:r>
      <w:r w:rsidRPr="00E859D7">
        <w:rPr>
          <w:rFonts w:ascii="Arial" w:hAnsi="Arial" w:cs="Arial"/>
          <w:bCs/>
          <w:iCs/>
          <w:sz w:val="18"/>
        </w:rPr>
        <w:t xml:space="preserve"> </w:t>
      </w:r>
      <w:proofErr w:type="spellStart"/>
      <w:r w:rsidRPr="00E859D7">
        <w:rPr>
          <w:rFonts w:ascii="Arial" w:hAnsi="Arial" w:cs="Arial"/>
          <w:bCs/>
          <w:iCs/>
          <w:sz w:val="18"/>
        </w:rPr>
        <w:t>Galați</w:t>
      </w:r>
      <w:proofErr w:type="spellEnd"/>
      <w:r w:rsidRPr="00E859D7">
        <w:rPr>
          <w:rFonts w:ascii="Arial" w:hAnsi="Arial" w:cs="Arial"/>
          <w:bCs/>
          <w:iCs/>
          <w:sz w:val="18"/>
        </w:rPr>
        <w:t xml:space="preserve">, </w:t>
      </w:r>
      <w:r>
        <w:rPr>
          <w:rFonts w:ascii="Arial" w:hAnsi="Arial" w:cs="Arial"/>
          <w:bCs/>
          <w:iCs/>
          <w:sz w:val="18"/>
        </w:rPr>
        <w:t>while the two micro-breweries are located in</w:t>
      </w:r>
      <w:r w:rsidRPr="00E859D7">
        <w:rPr>
          <w:rFonts w:ascii="Arial" w:hAnsi="Arial" w:cs="Arial"/>
          <w:bCs/>
          <w:iCs/>
          <w:sz w:val="18"/>
        </w:rPr>
        <w:t xml:space="preserve"> Cluj-Napoca </w:t>
      </w:r>
      <w:r>
        <w:rPr>
          <w:rFonts w:ascii="Arial" w:hAnsi="Arial" w:cs="Arial"/>
          <w:bCs/>
          <w:iCs/>
          <w:sz w:val="18"/>
        </w:rPr>
        <w:t>and</w:t>
      </w:r>
      <w:r w:rsidRPr="00E859D7">
        <w:rPr>
          <w:rFonts w:ascii="Arial" w:hAnsi="Arial" w:cs="Arial"/>
          <w:bCs/>
          <w:iCs/>
          <w:sz w:val="18"/>
        </w:rPr>
        <w:t xml:space="preserve"> </w:t>
      </w:r>
      <w:proofErr w:type="spellStart"/>
      <w:r w:rsidRPr="00E859D7">
        <w:rPr>
          <w:rFonts w:ascii="Arial" w:hAnsi="Arial" w:cs="Arial"/>
          <w:bCs/>
          <w:iCs/>
          <w:sz w:val="18"/>
        </w:rPr>
        <w:t>Timișoara</w:t>
      </w:r>
      <w:proofErr w:type="spellEnd"/>
      <w:r w:rsidRPr="00E859D7">
        <w:rPr>
          <w:rFonts w:ascii="Arial" w:hAnsi="Arial" w:cs="Arial"/>
          <w:bCs/>
          <w:iCs/>
          <w:sz w:val="18"/>
        </w:rPr>
        <w:t xml:space="preserve">. </w:t>
      </w:r>
    </w:p>
    <w:p w:rsidR="00280447" w:rsidRPr="00836FEA" w:rsidRDefault="00280447" w:rsidP="00280447">
      <w:pPr>
        <w:shd w:val="clear" w:color="auto" w:fill="FFFFFF"/>
        <w:jc w:val="both"/>
        <w:rPr>
          <w:rFonts w:ascii="Arial" w:hAnsi="Arial" w:cs="Arial"/>
          <w:bCs/>
          <w:iCs/>
          <w:sz w:val="18"/>
        </w:rPr>
      </w:pPr>
      <w:r w:rsidRPr="00836FEA">
        <w:rPr>
          <w:rFonts w:ascii="Arial" w:hAnsi="Arial" w:cs="Arial"/>
          <w:bCs/>
          <w:iCs/>
          <w:sz w:val="18"/>
        </w:rPr>
        <w:t xml:space="preserve">In 2008, the Brewers of Romania joined the larger family of European brewers, represented by the Brewers of Europe, established in 1958 in Brussels. The current members are the national brewers’ associations from the EU member states, Norway, Switzerland and Turkey. The organization represents the interests of more than </w:t>
      </w:r>
      <w:r>
        <w:rPr>
          <w:rFonts w:ascii="Arial" w:hAnsi="Arial" w:cs="Arial"/>
          <w:bCs/>
          <w:iCs/>
          <w:sz w:val="18"/>
        </w:rPr>
        <w:t>6,5</w:t>
      </w:r>
      <w:r w:rsidRPr="00836FEA">
        <w:rPr>
          <w:rFonts w:ascii="Arial" w:hAnsi="Arial" w:cs="Arial"/>
          <w:bCs/>
          <w:iCs/>
          <w:sz w:val="18"/>
        </w:rPr>
        <w:t>00 brewers in Europe in their relation with the various international institutions and organizations. The Brewers of Europe also defend the interests of over 2</w:t>
      </w:r>
      <w:r>
        <w:rPr>
          <w:rFonts w:ascii="Arial" w:hAnsi="Arial" w:cs="Arial"/>
          <w:bCs/>
          <w:iCs/>
          <w:sz w:val="18"/>
        </w:rPr>
        <w:t>.3</w:t>
      </w:r>
      <w:r w:rsidRPr="00836FEA">
        <w:rPr>
          <w:rFonts w:ascii="Arial" w:hAnsi="Arial" w:cs="Arial"/>
          <w:bCs/>
          <w:iCs/>
          <w:sz w:val="18"/>
        </w:rPr>
        <w:t xml:space="preserve"> million people employed in brewing and beer selling.</w:t>
      </w:r>
    </w:p>
    <w:p w:rsidR="00280447" w:rsidRDefault="00280447" w:rsidP="00280447">
      <w:pPr>
        <w:shd w:val="clear" w:color="auto" w:fill="FFFFFF" w:themeFill="background1"/>
        <w:rPr>
          <w:rFonts w:ascii="Arial" w:hAnsi="Arial" w:cs="Arial"/>
          <w:bCs/>
          <w:iCs/>
          <w:sz w:val="18"/>
        </w:rPr>
      </w:pPr>
    </w:p>
    <w:p w:rsidR="00280447" w:rsidRDefault="00280447" w:rsidP="00280447">
      <w:pPr>
        <w:shd w:val="clear" w:color="auto" w:fill="FFFFFF" w:themeFill="background1"/>
        <w:rPr>
          <w:rFonts w:ascii="Arial" w:hAnsi="Arial" w:cs="Arial"/>
          <w:bCs/>
          <w:iCs/>
          <w:sz w:val="18"/>
        </w:rPr>
      </w:pPr>
      <w:r>
        <w:rPr>
          <w:rFonts w:ascii="Arial" w:hAnsi="Arial" w:cs="Arial"/>
          <w:bCs/>
          <w:iCs/>
          <w:sz w:val="18"/>
        </w:rPr>
        <w:t>Brewers of Romania Association</w:t>
      </w:r>
    </w:p>
    <w:p w:rsidR="00A438C3" w:rsidRPr="008B26E2" w:rsidRDefault="00A438C3" w:rsidP="00280447">
      <w:pPr>
        <w:shd w:val="clear" w:color="auto" w:fill="FFFFFF" w:themeFill="background1"/>
        <w:rPr>
          <w:rFonts w:ascii="Arial" w:hAnsi="Arial" w:cs="Arial"/>
          <w:bCs/>
          <w:iCs/>
          <w:sz w:val="18"/>
        </w:rPr>
      </w:pPr>
      <w:r w:rsidRPr="008B26E2">
        <w:rPr>
          <w:rFonts w:ascii="Arial" w:hAnsi="Arial" w:cs="Arial"/>
          <w:bCs/>
          <w:iCs/>
          <w:sz w:val="18"/>
        </w:rPr>
        <w:t xml:space="preserve">Raluca </w:t>
      </w:r>
      <w:proofErr w:type="spellStart"/>
      <w:r w:rsidRPr="008B26E2">
        <w:rPr>
          <w:rFonts w:ascii="Arial" w:hAnsi="Arial" w:cs="Arial"/>
          <w:bCs/>
          <w:iCs/>
          <w:sz w:val="18"/>
        </w:rPr>
        <w:t>Niculae</w:t>
      </w:r>
      <w:proofErr w:type="spellEnd"/>
      <w:r w:rsidRPr="008B26E2">
        <w:rPr>
          <w:rFonts w:ascii="Arial" w:hAnsi="Arial" w:cs="Arial"/>
          <w:bCs/>
          <w:iCs/>
          <w:sz w:val="18"/>
        </w:rPr>
        <w:t xml:space="preserve"> - PR Manager</w:t>
      </w:r>
      <w:r w:rsidRPr="008B26E2">
        <w:rPr>
          <w:rFonts w:ascii="Arial" w:hAnsi="Arial" w:cs="Arial"/>
          <w:bCs/>
          <w:iCs/>
          <w:sz w:val="18"/>
        </w:rPr>
        <w:br/>
        <w:t>Mobil: 0723 54 57 36</w:t>
      </w:r>
      <w:r w:rsidRPr="008B26E2">
        <w:rPr>
          <w:rFonts w:ascii="Arial" w:hAnsi="Arial" w:cs="Arial"/>
          <w:bCs/>
          <w:iCs/>
          <w:sz w:val="18"/>
        </w:rPr>
        <w:br/>
        <w:t>E-mail: raluca.niculae@berariiromaniei.ro</w:t>
      </w:r>
    </w:p>
    <w:sectPr w:rsidR="00A438C3" w:rsidRPr="008B26E2" w:rsidSect="00BE5078">
      <w:head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7E" w:rsidRDefault="00185B7E" w:rsidP="00B334DB">
      <w:pPr>
        <w:spacing w:after="0" w:line="240" w:lineRule="auto"/>
      </w:pPr>
      <w:r>
        <w:separator/>
      </w:r>
    </w:p>
  </w:endnote>
  <w:endnote w:type="continuationSeparator" w:id="0">
    <w:p w:rsidR="00185B7E" w:rsidRDefault="00185B7E" w:rsidP="00B3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7E" w:rsidRDefault="00185B7E" w:rsidP="00B334DB">
      <w:pPr>
        <w:spacing w:after="0" w:line="240" w:lineRule="auto"/>
      </w:pPr>
      <w:r>
        <w:separator/>
      </w:r>
    </w:p>
  </w:footnote>
  <w:footnote w:type="continuationSeparator" w:id="0">
    <w:p w:rsidR="00185B7E" w:rsidRDefault="00185B7E" w:rsidP="00B334DB">
      <w:pPr>
        <w:spacing w:after="0" w:line="240" w:lineRule="auto"/>
      </w:pPr>
      <w:r>
        <w:continuationSeparator/>
      </w:r>
    </w:p>
  </w:footnote>
  <w:footnote w:id="1">
    <w:p w:rsidR="00365B4D" w:rsidRPr="00EB3EFE" w:rsidRDefault="00365B4D" w:rsidP="00365B4D">
      <w:pPr>
        <w:pStyle w:val="Textnotdesubsol"/>
        <w:rPr>
          <w:rFonts w:ascii="Arial" w:hAnsi="Arial" w:cs="Arial"/>
          <w:i/>
          <w:sz w:val="16"/>
          <w:szCs w:val="18"/>
        </w:rPr>
      </w:pPr>
      <w:r w:rsidRPr="00EB3EFE">
        <w:rPr>
          <w:rStyle w:val="Referinnotdesubsol"/>
          <w:rFonts w:ascii="Arial" w:hAnsi="Arial" w:cs="Arial"/>
          <w:i/>
          <w:sz w:val="16"/>
          <w:szCs w:val="18"/>
        </w:rPr>
        <w:footnoteRef/>
      </w:r>
      <w:r w:rsidRPr="00EB3EFE">
        <w:rPr>
          <w:rFonts w:ascii="Arial" w:hAnsi="Arial" w:cs="Arial"/>
          <w:i/>
          <w:sz w:val="16"/>
          <w:szCs w:val="18"/>
        </w:rPr>
        <w:t xml:space="preserve"> </w:t>
      </w:r>
      <w:r w:rsidR="0044303C" w:rsidRPr="00EB3EFE">
        <w:rPr>
          <w:rFonts w:ascii="Arial" w:hAnsi="Arial" w:cs="Arial"/>
          <w:i/>
          <w:sz w:val="16"/>
          <w:szCs w:val="18"/>
        </w:rPr>
        <w:t>Source of data for the market evolution</w:t>
      </w:r>
      <w:r w:rsidRPr="00EB3EFE">
        <w:rPr>
          <w:rFonts w:ascii="Arial" w:hAnsi="Arial" w:cs="Arial"/>
          <w:i/>
          <w:sz w:val="16"/>
          <w:szCs w:val="18"/>
        </w:rPr>
        <w:t xml:space="preserve">: Deloitte. </w:t>
      </w:r>
    </w:p>
  </w:footnote>
  <w:footnote w:id="2">
    <w:p w:rsidR="00460DDA" w:rsidRPr="00EB3EFE" w:rsidRDefault="00460DDA">
      <w:pPr>
        <w:pStyle w:val="Textnotdesubsol"/>
        <w:rPr>
          <w:rFonts w:ascii="Arial" w:hAnsi="Arial" w:cs="Arial"/>
          <w:i/>
          <w:sz w:val="16"/>
          <w:szCs w:val="18"/>
        </w:rPr>
      </w:pPr>
      <w:r w:rsidRPr="00EB3EFE">
        <w:rPr>
          <w:rStyle w:val="Referinnotdesubsol"/>
          <w:rFonts w:ascii="Arial" w:hAnsi="Arial" w:cs="Arial"/>
          <w:i/>
          <w:sz w:val="16"/>
          <w:szCs w:val="18"/>
        </w:rPr>
        <w:footnoteRef/>
      </w:r>
      <w:r w:rsidRPr="00EB3EFE">
        <w:rPr>
          <w:rFonts w:ascii="Arial" w:hAnsi="Arial" w:cs="Arial"/>
          <w:i/>
          <w:sz w:val="16"/>
          <w:szCs w:val="18"/>
        </w:rPr>
        <w:t xml:space="preserve"> </w:t>
      </w:r>
      <w:r w:rsidR="00EB3EFE">
        <w:rPr>
          <w:rFonts w:ascii="Arial" w:hAnsi="Arial" w:cs="Arial"/>
          <w:i/>
          <w:sz w:val="16"/>
          <w:szCs w:val="18"/>
        </w:rPr>
        <w:t>Source of data on the economic impact</w:t>
      </w:r>
      <w:r w:rsidRPr="00EB3EFE">
        <w:rPr>
          <w:rFonts w:ascii="Arial" w:hAnsi="Arial" w:cs="Arial"/>
          <w:i/>
          <w:sz w:val="16"/>
          <w:szCs w:val="18"/>
        </w:rPr>
        <w:t xml:space="preserve">: </w:t>
      </w:r>
      <w:r w:rsidR="00EB3EFE">
        <w:rPr>
          <w:rFonts w:ascii="Arial" w:hAnsi="Arial" w:cs="Arial"/>
          <w:i/>
          <w:iCs/>
          <w:color w:val="000000"/>
          <w:sz w:val="16"/>
          <w:szCs w:val="18"/>
        </w:rPr>
        <w:t>Study</w:t>
      </w:r>
      <w:r w:rsidRPr="00EB3EFE">
        <w:rPr>
          <w:rFonts w:ascii="Arial" w:hAnsi="Arial" w:cs="Arial"/>
          <w:i/>
          <w:iCs/>
          <w:color w:val="000000"/>
          <w:sz w:val="16"/>
          <w:szCs w:val="18"/>
        </w:rPr>
        <w:t xml:space="preserve"> “</w:t>
      </w:r>
      <w:r w:rsidR="00EB3EFE">
        <w:rPr>
          <w:rFonts w:ascii="Arial" w:hAnsi="Arial" w:cs="Arial"/>
          <w:i/>
          <w:iCs/>
          <w:color w:val="000000"/>
          <w:sz w:val="16"/>
          <w:szCs w:val="18"/>
        </w:rPr>
        <w:t>Beer contribution to the European economy</w:t>
      </w:r>
      <w:r w:rsidRPr="00EB3EFE">
        <w:rPr>
          <w:rFonts w:ascii="Arial" w:hAnsi="Arial" w:cs="Arial"/>
          <w:i/>
          <w:iCs/>
          <w:color w:val="000000"/>
          <w:sz w:val="16"/>
          <w:szCs w:val="18"/>
        </w:rPr>
        <w:t>”, Europe Economics, 2016</w:t>
      </w:r>
      <w:r w:rsidR="00EB3EFE">
        <w:rPr>
          <w:rFonts w:ascii="Arial" w:hAnsi="Arial" w:cs="Arial"/>
          <w:i/>
          <w:iCs/>
          <w:color w:val="000000"/>
          <w:sz w:val="16"/>
          <w:szCs w:val="18"/>
        </w:rPr>
        <w:t xml:space="preserve"> edition</w:t>
      </w:r>
    </w:p>
  </w:footnote>
  <w:footnote w:id="3">
    <w:p w:rsidR="00460DDA" w:rsidRPr="00EB3EFE" w:rsidRDefault="00460DDA">
      <w:pPr>
        <w:pStyle w:val="Textnotdesubsol"/>
        <w:rPr>
          <w:rFonts w:ascii="Arial" w:hAnsi="Arial" w:cs="Arial"/>
          <w:sz w:val="18"/>
        </w:rPr>
      </w:pPr>
      <w:r w:rsidRPr="00EB3EFE">
        <w:rPr>
          <w:rStyle w:val="Referinnotdesubsol"/>
          <w:rFonts w:ascii="Arial" w:hAnsi="Arial" w:cs="Arial"/>
          <w:i/>
          <w:sz w:val="16"/>
          <w:szCs w:val="18"/>
        </w:rPr>
        <w:footnoteRef/>
      </w:r>
      <w:r w:rsidRPr="00EB3EFE">
        <w:rPr>
          <w:rFonts w:ascii="Arial" w:hAnsi="Arial" w:cs="Arial"/>
          <w:i/>
          <w:sz w:val="16"/>
          <w:szCs w:val="18"/>
        </w:rPr>
        <w:t xml:space="preserve"> </w:t>
      </w:r>
      <w:r w:rsidR="00EB3EFE">
        <w:rPr>
          <w:rFonts w:ascii="Arial" w:hAnsi="Arial" w:cs="Arial"/>
          <w:i/>
          <w:sz w:val="16"/>
          <w:szCs w:val="18"/>
        </w:rPr>
        <w:t>Source of data</w:t>
      </w:r>
      <w:r w:rsidR="00C720A3" w:rsidRPr="00EB3EFE">
        <w:rPr>
          <w:rFonts w:ascii="Arial" w:hAnsi="Arial" w:cs="Arial"/>
          <w:i/>
          <w:sz w:val="16"/>
          <w:szCs w:val="18"/>
        </w:rPr>
        <w:t xml:space="preserve">: </w:t>
      </w:r>
      <w:r w:rsidR="00EB3EFE">
        <w:rPr>
          <w:rFonts w:ascii="Arial" w:hAnsi="Arial" w:cs="Arial"/>
          <w:i/>
          <w:sz w:val="16"/>
          <w:szCs w:val="18"/>
        </w:rPr>
        <w:t>The Brewers of Romania Association</w:t>
      </w:r>
    </w:p>
  </w:footnote>
  <w:footnote w:id="4">
    <w:p w:rsidR="00460DDA" w:rsidRPr="00EB3EFE" w:rsidRDefault="00460DDA">
      <w:pPr>
        <w:pStyle w:val="Textnotdesubsol"/>
        <w:rPr>
          <w:rFonts w:ascii="Arial" w:hAnsi="Arial" w:cs="Arial"/>
          <w:i/>
          <w:sz w:val="16"/>
        </w:rPr>
      </w:pPr>
      <w:r w:rsidRPr="00EB3EFE">
        <w:rPr>
          <w:rStyle w:val="Referinnotdesubsol"/>
          <w:rFonts w:ascii="Arial" w:hAnsi="Arial" w:cs="Arial"/>
          <w:i/>
          <w:sz w:val="16"/>
        </w:rPr>
        <w:footnoteRef/>
      </w:r>
      <w:r w:rsidRPr="00EB3EFE">
        <w:rPr>
          <w:rFonts w:ascii="Arial" w:hAnsi="Arial" w:cs="Arial"/>
          <w:i/>
          <w:sz w:val="16"/>
        </w:rPr>
        <w:t xml:space="preserve"> </w:t>
      </w:r>
      <w:r w:rsidR="00280447">
        <w:rPr>
          <w:rFonts w:ascii="Arial" w:hAnsi="Arial" w:cs="Arial"/>
          <w:i/>
          <w:sz w:val="16"/>
        </w:rPr>
        <w:t>Source of data</w:t>
      </w:r>
      <w:r w:rsidR="00C720A3" w:rsidRPr="00EB3EFE">
        <w:rPr>
          <w:rFonts w:ascii="Arial" w:hAnsi="Arial" w:cs="Arial"/>
          <w:i/>
          <w:sz w:val="16"/>
        </w:rPr>
        <w:t xml:space="preserve">: </w:t>
      </w:r>
      <w:r w:rsidRPr="00EB3EFE">
        <w:rPr>
          <w:rFonts w:ascii="Arial" w:hAnsi="Arial" w:cs="Arial"/>
          <w:i/>
          <w:sz w:val="16"/>
        </w:rPr>
        <w:t>Deloitte</w:t>
      </w:r>
    </w:p>
  </w:footnote>
  <w:footnote w:id="5">
    <w:p w:rsidR="00460DDA" w:rsidRPr="00EB3EFE" w:rsidRDefault="00460DDA">
      <w:pPr>
        <w:pStyle w:val="Textnotdesubsol"/>
        <w:rPr>
          <w:rFonts w:ascii="Arial" w:hAnsi="Arial" w:cs="Arial"/>
          <w:sz w:val="18"/>
        </w:rPr>
      </w:pPr>
      <w:r w:rsidRPr="00EB3EFE">
        <w:rPr>
          <w:rStyle w:val="Referinnotdesubsol"/>
          <w:rFonts w:ascii="Arial" w:hAnsi="Arial" w:cs="Arial"/>
          <w:i/>
          <w:sz w:val="16"/>
        </w:rPr>
        <w:footnoteRef/>
      </w:r>
      <w:r w:rsidRPr="00EB3EFE">
        <w:rPr>
          <w:rFonts w:ascii="Arial" w:hAnsi="Arial" w:cs="Arial"/>
          <w:i/>
          <w:sz w:val="16"/>
        </w:rPr>
        <w:t xml:space="preserve"> </w:t>
      </w:r>
      <w:r w:rsidR="00280447">
        <w:rPr>
          <w:rFonts w:ascii="Arial" w:hAnsi="Arial" w:cs="Arial"/>
          <w:i/>
          <w:sz w:val="16"/>
        </w:rPr>
        <w:t>Source of data</w:t>
      </w:r>
      <w:r w:rsidR="00C720A3" w:rsidRPr="00EB3EFE">
        <w:rPr>
          <w:rFonts w:ascii="Arial" w:hAnsi="Arial" w:cs="Arial"/>
          <w:i/>
          <w:sz w:val="16"/>
        </w:rPr>
        <w:t xml:space="preserve">: </w:t>
      </w:r>
      <w:r w:rsidR="00280447">
        <w:rPr>
          <w:rFonts w:ascii="Arial" w:hAnsi="Arial" w:cs="Arial"/>
          <w:i/>
          <w:sz w:val="16"/>
        </w:rPr>
        <w:t>National Statistics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24" w:rsidRDefault="00165E76" w:rsidP="008F3024">
    <w:pPr>
      <w:pStyle w:val="Antet"/>
    </w:pPr>
    <w:r w:rsidRPr="00165E76">
      <w:rPr>
        <w:noProof/>
      </w:rPr>
      <w:drawing>
        <wp:anchor distT="0" distB="0" distL="114300" distR="114300" simplePos="0" relativeHeight="251659264" behindDoc="0" locked="0" layoutInCell="1" allowOverlap="1">
          <wp:simplePos x="0" y="0"/>
          <wp:positionH relativeFrom="margin">
            <wp:posOffset>3457575</wp:posOffset>
          </wp:positionH>
          <wp:positionV relativeFrom="paragraph">
            <wp:posOffset>95250</wp:posOffset>
          </wp:positionV>
          <wp:extent cx="2649855" cy="762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4985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-295275</wp:posOffset>
          </wp:positionH>
          <wp:positionV relativeFrom="paragraph">
            <wp:posOffset>-124460</wp:posOffset>
          </wp:positionV>
          <wp:extent cx="3629025" cy="1209675"/>
          <wp:effectExtent l="0" t="0" r="0" b="0"/>
          <wp:wrapTight wrapText="bothSides">
            <wp:wrapPolygon edited="0">
              <wp:start x="1701" y="6463"/>
              <wp:lineTo x="680" y="9865"/>
              <wp:lineTo x="907" y="12586"/>
              <wp:lineTo x="1587" y="14287"/>
              <wp:lineTo x="1701" y="14967"/>
              <wp:lineTo x="4309" y="14967"/>
              <wp:lineTo x="9865" y="13946"/>
              <wp:lineTo x="9751" y="12586"/>
              <wp:lineTo x="20750" y="12586"/>
              <wp:lineTo x="20636" y="7483"/>
              <wp:lineTo x="3742" y="6463"/>
              <wp:lineTo x="1701" y="64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rarii ROM.png"/>
                  <pic:cNvPicPr/>
                </pic:nvPicPr>
                <pic:blipFill>
                  <a:blip r:embed="rId2">
                    <a:extLst>
                      <a:ext uri="{28A0092B-C50C-407E-A947-70E740481C1C}">
                        <a14:useLocalDpi xmlns:a14="http://schemas.microsoft.com/office/drawing/2010/main" val="0"/>
                      </a:ext>
                    </a:extLst>
                  </a:blip>
                  <a:stretch>
                    <a:fillRect/>
                  </a:stretch>
                </pic:blipFill>
                <pic:spPr>
                  <a:xfrm>
                    <a:off x="0" y="0"/>
                    <a:ext cx="3629025" cy="1209675"/>
                  </a:xfrm>
                  <a:prstGeom prst="rect">
                    <a:avLst/>
                  </a:prstGeom>
                </pic:spPr>
              </pic:pic>
            </a:graphicData>
          </a:graphic>
          <wp14:sizeRelH relativeFrom="margin">
            <wp14:pctWidth>0</wp14:pctWidth>
          </wp14:sizeRelH>
          <wp14:sizeRelV relativeFrom="margin">
            <wp14:pctHeight>0</wp14:pctHeight>
          </wp14:sizeRelV>
        </wp:anchor>
      </w:drawing>
    </w:r>
    <w:r w:rsidR="00B334DB">
      <w:t xml:space="preserve">                                                                      </w:t>
    </w:r>
    <w:r>
      <w:t xml:space="preserve">                                             </w:t>
    </w:r>
    <w:r w:rsidR="008F3024">
      <w:t xml:space="preserve">                   </w:t>
    </w:r>
    <w:r w:rsidR="008F3024">
      <w:rPr>
        <w:lang w:val="ro-RO"/>
      </w:rPr>
      <w:t xml:space="preserve">                                                                                       </w:t>
    </w:r>
    <w:bookmarkStart w:id="1" w:name="_MailAutoSig"/>
    <w:bookmarkEnd w:id="1"/>
    <w:r w:rsidR="008F3024">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0FE0"/>
    <w:multiLevelType w:val="hybridMultilevel"/>
    <w:tmpl w:val="49F6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E91494"/>
    <w:multiLevelType w:val="hybridMultilevel"/>
    <w:tmpl w:val="74821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A528AE"/>
    <w:multiLevelType w:val="hybridMultilevel"/>
    <w:tmpl w:val="920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0F"/>
    <w:rsid w:val="000248C1"/>
    <w:rsid w:val="00033912"/>
    <w:rsid w:val="00076915"/>
    <w:rsid w:val="00080940"/>
    <w:rsid w:val="00086DF4"/>
    <w:rsid w:val="000946D0"/>
    <w:rsid w:val="000A1170"/>
    <w:rsid w:val="000D1456"/>
    <w:rsid w:val="000D4B8C"/>
    <w:rsid w:val="000F14AA"/>
    <w:rsid w:val="000F62A0"/>
    <w:rsid w:val="00102EC6"/>
    <w:rsid w:val="00104C02"/>
    <w:rsid w:val="00110CCA"/>
    <w:rsid w:val="00112619"/>
    <w:rsid w:val="0011371A"/>
    <w:rsid w:val="00122026"/>
    <w:rsid w:val="001230C7"/>
    <w:rsid w:val="0012372E"/>
    <w:rsid w:val="0013795B"/>
    <w:rsid w:val="00147269"/>
    <w:rsid w:val="00153BB5"/>
    <w:rsid w:val="00154734"/>
    <w:rsid w:val="001640F1"/>
    <w:rsid w:val="00165E76"/>
    <w:rsid w:val="0017143D"/>
    <w:rsid w:val="00172534"/>
    <w:rsid w:val="001736BC"/>
    <w:rsid w:val="001818BF"/>
    <w:rsid w:val="0018411B"/>
    <w:rsid w:val="00185B7E"/>
    <w:rsid w:val="00196686"/>
    <w:rsid w:val="001A111C"/>
    <w:rsid w:val="001A1200"/>
    <w:rsid w:val="001D0C5D"/>
    <w:rsid w:val="001D5ADE"/>
    <w:rsid w:val="001E221C"/>
    <w:rsid w:val="001E7BA7"/>
    <w:rsid w:val="001F635E"/>
    <w:rsid w:val="00207588"/>
    <w:rsid w:val="00234E0C"/>
    <w:rsid w:val="0024109E"/>
    <w:rsid w:val="00244F6A"/>
    <w:rsid w:val="002625C7"/>
    <w:rsid w:val="00272BB2"/>
    <w:rsid w:val="00277C7C"/>
    <w:rsid w:val="00280447"/>
    <w:rsid w:val="00293BD8"/>
    <w:rsid w:val="002B2EC9"/>
    <w:rsid w:val="002E310C"/>
    <w:rsid w:val="002E6D51"/>
    <w:rsid w:val="002F22D4"/>
    <w:rsid w:val="00303367"/>
    <w:rsid w:val="00316740"/>
    <w:rsid w:val="00316F9C"/>
    <w:rsid w:val="00323293"/>
    <w:rsid w:val="00334DE5"/>
    <w:rsid w:val="00335858"/>
    <w:rsid w:val="0034434C"/>
    <w:rsid w:val="00365B4D"/>
    <w:rsid w:val="00365B54"/>
    <w:rsid w:val="00382603"/>
    <w:rsid w:val="0038762A"/>
    <w:rsid w:val="003B542E"/>
    <w:rsid w:val="003C5067"/>
    <w:rsid w:val="003C75C6"/>
    <w:rsid w:val="003D3C16"/>
    <w:rsid w:val="003E03DF"/>
    <w:rsid w:val="003E080C"/>
    <w:rsid w:val="003E1174"/>
    <w:rsid w:val="003F2DC9"/>
    <w:rsid w:val="003F3722"/>
    <w:rsid w:val="00410C06"/>
    <w:rsid w:val="00413A7F"/>
    <w:rsid w:val="004228CB"/>
    <w:rsid w:val="0042493E"/>
    <w:rsid w:val="004372CC"/>
    <w:rsid w:val="0044303C"/>
    <w:rsid w:val="00451661"/>
    <w:rsid w:val="00455158"/>
    <w:rsid w:val="00460DDA"/>
    <w:rsid w:val="004806F4"/>
    <w:rsid w:val="00482629"/>
    <w:rsid w:val="00484E9E"/>
    <w:rsid w:val="004937E4"/>
    <w:rsid w:val="004A6F98"/>
    <w:rsid w:val="004D2644"/>
    <w:rsid w:val="004D542B"/>
    <w:rsid w:val="0050047A"/>
    <w:rsid w:val="00503092"/>
    <w:rsid w:val="0051260F"/>
    <w:rsid w:val="00546141"/>
    <w:rsid w:val="0054649A"/>
    <w:rsid w:val="00570F65"/>
    <w:rsid w:val="00573567"/>
    <w:rsid w:val="00585302"/>
    <w:rsid w:val="00595FE6"/>
    <w:rsid w:val="005A26B0"/>
    <w:rsid w:val="005B661A"/>
    <w:rsid w:val="005E48AA"/>
    <w:rsid w:val="005F6C6E"/>
    <w:rsid w:val="005F7C98"/>
    <w:rsid w:val="00603607"/>
    <w:rsid w:val="00623539"/>
    <w:rsid w:val="00624834"/>
    <w:rsid w:val="00641A6E"/>
    <w:rsid w:val="00646F13"/>
    <w:rsid w:val="006476A4"/>
    <w:rsid w:val="00663CA6"/>
    <w:rsid w:val="006C4623"/>
    <w:rsid w:val="006E07D3"/>
    <w:rsid w:val="006F5BDF"/>
    <w:rsid w:val="0071325D"/>
    <w:rsid w:val="007220F5"/>
    <w:rsid w:val="00734A91"/>
    <w:rsid w:val="00742E1C"/>
    <w:rsid w:val="00774159"/>
    <w:rsid w:val="007832DA"/>
    <w:rsid w:val="00790DC5"/>
    <w:rsid w:val="007A1B24"/>
    <w:rsid w:val="007A79FC"/>
    <w:rsid w:val="007D0AAF"/>
    <w:rsid w:val="007E013C"/>
    <w:rsid w:val="007E3D52"/>
    <w:rsid w:val="007F4935"/>
    <w:rsid w:val="00805A5B"/>
    <w:rsid w:val="00810C15"/>
    <w:rsid w:val="00810F52"/>
    <w:rsid w:val="008276EB"/>
    <w:rsid w:val="00835A46"/>
    <w:rsid w:val="0086685C"/>
    <w:rsid w:val="00872B6E"/>
    <w:rsid w:val="00877D8A"/>
    <w:rsid w:val="008831C4"/>
    <w:rsid w:val="0088447B"/>
    <w:rsid w:val="00894F63"/>
    <w:rsid w:val="00896CF3"/>
    <w:rsid w:val="008A277D"/>
    <w:rsid w:val="008B0363"/>
    <w:rsid w:val="008B26E2"/>
    <w:rsid w:val="008B37DE"/>
    <w:rsid w:val="008B6B6D"/>
    <w:rsid w:val="008F3024"/>
    <w:rsid w:val="008F487A"/>
    <w:rsid w:val="009322C9"/>
    <w:rsid w:val="0093762F"/>
    <w:rsid w:val="00943D0C"/>
    <w:rsid w:val="00954E7F"/>
    <w:rsid w:val="0096269C"/>
    <w:rsid w:val="00972319"/>
    <w:rsid w:val="00980439"/>
    <w:rsid w:val="00987352"/>
    <w:rsid w:val="009B117E"/>
    <w:rsid w:val="009D2F86"/>
    <w:rsid w:val="00A058AF"/>
    <w:rsid w:val="00A10FEF"/>
    <w:rsid w:val="00A3085F"/>
    <w:rsid w:val="00A438C3"/>
    <w:rsid w:val="00A4575A"/>
    <w:rsid w:val="00A47032"/>
    <w:rsid w:val="00A816A3"/>
    <w:rsid w:val="00A84D45"/>
    <w:rsid w:val="00A873CF"/>
    <w:rsid w:val="00A965C7"/>
    <w:rsid w:val="00AB6349"/>
    <w:rsid w:val="00AC0E6A"/>
    <w:rsid w:val="00AC7C0F"/>
    <w:rsid w:val="00AD26C6"/>
    <w:rsid w:val="00AD697C"/>
    <w:rsid w:val="00B01DB7"/>
    <w:rsid w:val="00B052FA"/>
    <w:rsid w:val="00B057F5"/>
    <w:rsid w:val="00B30AC9"/>
    <w:rsid w:val="00B32986"/>
    <w:rsid w:val="00B334DB"/>
    <w:rsid w:val="00B421E1"/>
    <w:rsid w:val="00B63DE9"/>
    <w:rsid w:val="00B663E4"/>
    <w:rsid w:val="00B66793"/>
    <w:rsid w:val="00B962C0"/>
    <w:rsid w:val="00BA0050"/>
    <w:rsid w:val="00BA3655"/>
    <w:rsid w:val="00BB00CD"/>
    <w:rsid w:val="00BB1753"/>
    <w:rsid w:val="00BB5C20"/>
    <w:rsid w:val="00BD0063"/>
    <w:rsid w:val="00BE5078"/>
    <w:rsid w:val="00BF1E82"/>
    <w:rsid w:val="00C018EA"/>
    <w:rsid w:val="00C13C85"/>
    <w:rsid w:val="00C21E30"/>
    <w:rsid w:val="00C30FFF"/>
    <w:rsid w:val="00C6535B"/>
    <w:rsid w:val="00C71E0C"/>
    <w:rsid w:val="00C720A3"/>
    <w:rsid w:val="00C868E7"/>
    <w:rsid w:val="00C9224B"/>
    <w:rsid w:val="00CA02FB"/>
    <w:rsid w:val="00CA532C"/>
    <w:rsid w:val="00CB1BC2"/>
    <w:rsid w:val="00CB60E4"/>
    <w:rsid w:val="00CD0CFA"/>
    <w:rsid w:val="00CD4D3E"/>
    <w:rsid w:val="00CD7BF0"/>
    <w:rsid w:val="00D00E8D"/>
    <w:rsid w:val="00D160CA"/>
    <w:rsid w:val="00D2394A"/>
    <w:rsid w:val="00D272B2"/>
    <w:rsid w:val="00D33786"/>
    <w:rsid w:val="00D34AD4"/>
    <w:rsid w:val="00D47D64"/>
    <w:rsid w:val="00D6118C"/>
    <w:rsid w:val="00D63A71"/>
    <w:rsid w:val="00D71E65"/>
    <w:rsid w:val="00D928C8"/>
    <w:rsid w:val="00DC56E6"/>
    <w:rsid w:val="00DC6EF7"/>
    <w:rsid w:val="00E01444"/>
    <w:rsid w:val="00E1240C"/>
    <w:rsid w:val="00E333A4"/>
    <w:rsid w:val="00E4230B"/>
    <w:rsid w:val="00E577F8"/>
    <w:rsid w:val="00E66C35"/>
    <w:rsid w:val="00E72D56"/>
    <w:rsid w:val="00E75BD9"/>
    <w:rsid w:val="00E9182A"/>
    <w:rsid w:val="00E9439E"/>
    <w:rsid w:val="00EB3EFE"/>
    <w:rsid w:val="00EC4BDD"/>
    <w:rsid w:val="00ED0497"/>
    <w:rsid w:val="00ED09C0"/>
    <w:rsid w:val="00EF0CE9"/>
    <w:rsid w:val="00F011DE"/>
    <w:rsid w:val="00F06067"/>
    <w:rsid w:val="00F545E8"/>
    <w:rsid w:val="00F70529"/>
    <w:rsid w:val="00F72246"/>
    <w:rsid w:val="00F8706E"/>
    <w:rsid w:val="00F94F95"/>
    <w:rsid w:val="00F95C87"/>
    <w:rsid w:val="00FA2E71"/>
    <w:rsid w:val="00FD3237"/>
    <w:rsid w:val="00FE10C9"/>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5E519"/>
  <w15:docId w15:val="{EB97A1F4-FF10-4E5C-9AB0-643B1EA0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2">
    <w:name w:val="heading 2"/>
    <w:basedOn w:val="Normal"/>
    <w:link w:val="Titlu2Caracter"/>
    <w:qFormat/>
    <w:rsid w:val="00CB60E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0D4B8C"/>
    <w:rPr>
      <w:i/>
      <w:iCs/>
    </w:rPr>
  </w:style>
  <w:style w:type="paragraph" w:styleId="Listparagraf">
    <w:name w:val="List Paragraph"/>
    <w:basedOn w:val="Normal"/>
    <w:qFormat/>
    <w:rsid w:val="00382603"/>
    <w:pPr>
      <w:ind w:left="720"/>
      <w:contextualSpacing/>
    </w:pPr>
  </w:style>
  <w:style w:type="paragraph" w:styleId="NormalWeb">
    <w:name w:val="Normal (Web)"/>
    <w:basedOn w:val="Normal"/>
    <w:uiPriority w:val="99"/>
    <w:semiHidden/>
    <w:unhideWhenUsed/>
    <w:rsid w:val="00B32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B32986"/>
    <w:pPr>
      <w:autoSpaceDE w:val="0"/>
      <w:autoSpaceDN w:val="0"/>
      <w:adjustRightInd w:val="0"/>
      <w:spacing w:after="0" w:line="201" w:lineRule="atLeast"/>
    </w:pPr>
    <w:rPr>
      <w:rFonts w:ascii="Helvetica 25 UltraLight" w:eastAsia="Calibri" w:hAnsi="Helvetica 25 UltraLight" w:cs="Times New Roman"/>
      <w:sz w:val="24"/>
      <w:szCs w:val="24"/>
    </w:rPr>
  </w:style>
  <w:style w:type="paragraph" w:styleId="Antet">
    <w:name w:val="header"/>
    <w:basedOn w:val="Normal"/>
    <w:link w:val="AntetCaracter"/>
    <w:uiPriority w:val="99"/>
    <w:unhideWhenUsed/>
    <w:rsid w:val="00B334D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334DB"/>
  </w:style>
  <w:style w:type="paragraph" w:styleId="Subsol">
    <w:name w:val="footer"/>
    <w:basedOn w:val="Normal"/>
    <w:link w:val="SubsolCaracter"/>
    <w:uiPriority w:val="99"/>
    <w:unhideWhenUsed/>
    <w:rsid w:val="00B334D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334DB"/>
  </w:style>
  <w:style w:type="paragraph" w:styleId="Textnotdesubsol">
    <w:name w:val="footnote text"/>
    <w:basedOn w:val="Normal"/>
    <w:link w:val="TextnotdesubsolCaracter"/>
    <w:uiPriority w:val="99"/>
    <w:unhideWhenUsed/>
    <w:rsid w:val="00B334DB"/>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B334DB"/>
    <w:rPr>
      <w:sz w:val="20"/>
      <w:szCs w:val="20"/>
    </w:rPr>
  </w:style>
  <w:style w:type="character" w:styleId="Referinnotdesubsol">
    <w:name w:val="footnote reference"/>
    <w:basedOn w:val="Fontdeparagrafimplicit"/>
    <w:uiPriority w:val="99"/>
    <w:semiHidden/>
    <w:unhideWhenUsed/>
    <w:rsid w:val="00B334DB"/>
    <w:rPr>
      <w:vertAlign w:val="superscript"/>
    </w:rPr>
  </w:style>
  <w:style w:type="paragraph" w:styleId="TextnBalon">
    <w:name w:val="Balloon Text"/>
    <w:basedOn w:val="Normal"/>
    <w:link w:val="TextnBalonCaracter"/>
    <w:uiPriority w:val="99"/>
    <w:semiHidden/>
    <w:unhideWhenUsed/>
    <w:rsid w:val="00BB00C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B00CD"/>
    <w:rPr>
      <w:rFonts w:ascii="Segoe UI" w:hAnsi="Segoe UI" w:cs="Segoe UI"/>
      <w:sz w:val="18"/>
      <w:szCs w:val="18"/>
    </w:rPr>
  </w:style>
  <w:style w:type="character" w:customStyle="1" w:styleId="Titlu2Caracter">
    <w:name w:val="Titlu 2 Caracter"/>
    <w:basedOn w:val="Fontdeparagrafimplicit"/>
    <w:link w:val="Titlu2"/>
    <w:rsid w:val="00CB60E4"/>
    <w:rPr>
      <w:rFonts w:ascii="Times New Roman" w:eastAsia="Times New Roman" w:hAnsi="Times New Roman" w:cs="Times New Roman"/>
      <w:b/>
      <w:bCs/>
      <w:sz w:val="36"/>
      <w:szCs w:val="36"/>
      <w:lang w:val="x-none" w:eastAsia="x-none"/>
    </w:rPr>
  </w:style>
  <w:style w:type="character" w:styleId="Referincomentariu">
    <w:name w:val="annotation reference"/>
    <w:basedOn w:val="Fontdeparagrafimplicit"/>
    <w:uiPriority w:val="99"/>
    <w:semiHidden/>
    <w:unhideWhenUsed/>
    <w:rsid w:val="0051260F"/>
    <w:rPr>
      <w:sz w:val="16"/>
      <w:szCs w:val="16"/>
    </w:rPr>
  </w:style>
  <w:style w:type="paragraph" w:styleId="Textcomentariu">
    <w:name w:val="annotation text"/>
    <w:basedOn w:val="Normal"/>
    <w:link w:val="TextcomentariuCaracter"/>
    <w:uiPriority w:val="99"/>
    <w:unhideWhenUsed/>
    <w:rsid w:val="0051260F"/>
    <w:pPr>
      <w:spacing w:line="240" w:lineRule="auto"/>
    </w:pPr>
    <w:rPr>
      <w:sz w:val="20"/>
      <w:szCs w:val="20"/>
    </w:rPr>
  </w:style>
  <w:style w:type="character" w:customStyle="1" w:styleId="TextcomentariuCaracter">
    <w:name w:val="Text comentariu Caracter"/>
    <w:basedOn w:val="Fontdeparagrafimplicit"/>
    <w:link w:val="Textcomentariu"/>
    <w:uiPriority w:val="99"/>
    <w:rsid w:val="0051260F"/>
    <w:rPr>
      <w:sz w:val="20"/>
      <w:szCs w:val="20"/>
    </w:rPr>
  </w:style>
  <w:style w:type="paragraph" w:styleId="SubiectComentariu">
    <w:name w:val="annotation subject"/>
    <w:basedOn w:val="Textcomentariu"/>
    <w:next w:val="Textcomentariu"/>
    <w:link w:val="SubiectComentariuCaracter"/>
    <w:uiPriority w:val="99"/>
    <w:semiHidden/>
    <w:unhideWhenUsed/>
    <w:rsid w:val="0051260F"/>
    <w:rPr>
      <w:b/>
      <w:bCs/>
    </w:rPr>
  </w:style>
  <w:style w:type="character" w:customStyle="1" w:styleId="SubiectComentariuCaracter">
    <w:name w:val="Subiect Comentariu Caracter"/>
    <w:basedOn w:val="TextcomentariuCaracter"/>
    <w:link w:val="SubiectComentariu"/>
    <w:uiPriority w:val="99"/>
    <w:semiHidden/>
    <w:rsid w:val="0051260F"/>
    <w:rPr>
      <w:b/>
      <w:bCs/>
      <w:sz w:val="20"/>
      <w:szCs w:val="20"/>
    </w:rPr>
  </w:style>
  <w:style w:type="paragraph" w:styleId="Textnotdefinal">
    <w:name w:val="endnote text"/>
    <w:basedOn w:val="Normal"/>
    <w:link w:val="TextnotdefinalCaracter"/>
    <w:uiPriority w:val="99"/>
    <w:semiHidden/>
    <w:unhideWhenUsed/>
    <w:rsid w:val="00980439"/>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80439"/>
    <w:rPr>
      <w:sz w:val="20"/>
      <w:szCs w:val="20"/>
    </w:rPr>
  </w:style>
  <w:style w:type="character" w:styleId="Referinnotdefinal">
    <w:name w:val="endnote reference"/>
    <w:basedOn w:val="Fontdeparagrafimplicit"/>
    <w:uiPriority w:val="99"/>
    <w:semiHidden/>
    <w:unhideWhenUsed/>
    <w:rsid w:val="00980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43397">
      <w:bodyDiv w:val="1"/>
      <w:marLeft w:val="0"/>
      <w:marRight w:val="0"/>
      <w:marTop w:val="0"/>
      <w:marBottom w:val="0"/>
      <w:divBdr>
        <w:top w:val="none" w:sz="0" w:space="0" w:color="auto"/>
        <w:left w:val="none" w:sz="0" w:space="0" w:color="auto"/>
        <w:bottom w:val="none" w:sz="0" w:space="0" w:color="auto"/>
        <w:right w:val="none" w:sz="0" w:space="0" w:color="auto"/>
      </w:divBdr>
    </w:div>
    <w:div w:id="717362849">
      <w:bodyDiv w:val="1"/>
      <w:marLeft w:val="0"/>
      <w:marRight w:val="0"/>
      <w:marTop w:val="0"/>
      <w:marBottom w:val="0"/>
      <w:divBdr>
        <w:top w:val="none" w:sz="0" w:space="0" w:color="auto"/>
        <w:left w:val="none" w:sz="0" w:space="0" w:color="auto"/>
        <w:bottom w:val="none" w:sz="0" w:space="0" w:color="auto"/>
        <w:right w:val="none" w:sz="0" w:space="0" w:color="auto"/>
      </w:divBdr>
    </w:div>
    <w:div w:id="789281685">
      <w:bodyDiv w:val="1"/>
      <w:marLeft w:val="0"/>
      <w:marRight w:val="0"/>
      <w:marTop w:val="0"/>
      <w:marBottom w:val="0"/>
      <w:divBdr>
        <w:top w:val="none" w:sz="0" w:space="0" w:color="auto"/>
        <w:left w:val="none" w:sz="0" w:space="0" w:color="auto"/>
        <w:bottom w:val="none" w:sz="0" w:space="0" w:color="auto"/>
        <w:right w:val="none" w:sz="0" w:space="0" w:color="auto"/>
      </w:divBdr>
    </w:div>
    <w:div w:id="1233849730">
      <w:bodyDiv w:val="1"/>
      <w:marLeft w:val="0"/>
      <w:marRight w:val="0"/>
      <w:marTop w:val="0"/>
      <w:marBottom w:val="0"/>
      <w:divBdr>
        <w:top w:val="none" w:sz="0" w:space="0" w:color="auto"/>
        <w:left w:val="none" w:sz="0" w:space="0" w:color="auto"/>
        <w:bottom w:val="none" w:sz="0" w:space="0" w:color="auto"/>
        <w:right w:val="none" w:sz="0" w:space="0" w:color="auto"/>
      </w:divBdr>
    </w:div>
    <w:div w:id="17363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8D12-B9A2-45FE-8DA0-1B9ED014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824</Words>
  <Characters>4697</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SABMiller</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Tropotel</cp:lastModifiedBy>
  <cp:revision>6</cp:revision>
  <cp:lastPrinted>2018-08-29T10:45:00Z</cp:lastPrinted>
  <dcterms:created xsi:type="dcterms:W3CDTF">2018-04-13T11:24:00Z</dcterms:created>
  <dcterms:modified xsi:type="dcterms:W3CDTF">2019-04-10T18:54:00Z</dcterms:modified>
</cp:coreProperties>
</file>